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Default="00DD20E1" w:rsidP="00515102">
      <w:pPr>
        <w:widowControl w:val="0"/>
        <w:autoSpaceDE w:val="0"/>
        <w:autoSpaceDN w:val="0"/>
        <w:adjustRightInd w:val="0"/>
        <w:spacing w:after="0"/>
        <w:jc w:val="center"/>
        <w:rPr>
          <w:rFonts w:asciiTheme="minorHAnsi" w:hAnsiTheme="minorHAnsi" w:cs="Arial"/>
          <w:b/>
          <w:sz w:val="28"/>
          <w:szCs w:val="28"/>
        </w:rPr>
      </w:pP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POVZETEK OPERACIJE</w:t>
      </w:r>
      <w:r w:rsidR="00056B96">
        <w:rPr>
          <w:rFonts w:asciiTheme="minorHAnsi" w:eastAsia="Times New Roman" w:hAnsiTheme="minorHAnsi" w:cs="Arial"/>
          <w:b/>
          <w:bCs/>
          <w:color w:val="000000"/>
          <w:sz w:val="20"/>
          <w:szCs w:val="20"/>
          <w:lang w:eastAsia="sl-SI"/>
        </w:rPr>
        <w:t xml:space="preserve"> </w:t>
      </w:r>
      <w:r w:rsidR="00056B96" w:rsidRPr="00056B96">
        <w:rPr>
          <w:rFonts w:asciiTheme="minorHAnsi" w:eastAsia="Times New Roman" w:hAnsiTheme="minorHAnsi" w:cs="Arial"/>
          <w:b/>
          <w:bCs/>
          <w:color w:val="000000"/>
          <w:sz w:val="20"/>
          <w:szCs w:val="20"/>
          <w:lang w:eastAsia="sl-SI"/>
        </w:rPr>
        <w:t>OŽIVLJANJE MESTNIH SREDIŠČ S POMOČJO OBRTI</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 xml:space="preserve"> </w:t>
      </w:r>
      <w:r w:rsidR="00DB5C43">
        <w:rPr>
          <w:rFonts w:asciiTheme="minorHAnsi" w:eastAsia="Times New Roman" w:hAnsiTheme="minorHAnsi" w:cs="Arial"/>
          <w:b/>
          <w:bCs/>
          <w:color w:val="000000"/>
          <w:sz w:val="20"/>
          <w:szCs w:val="20"/>
          <w:lang w:eastAsia="sl-SI"/>
        </w:rPr>
        <w:t xml:space="preserve">2. </w:t>
      </w:r>
      <w:r w:rsidRPr="00E84A7F">
        <w:rPr>
          <w:rFonts w:asciiTheme="minorHAnsi" w:eastAsia="Times New Roman" w:hAnsiTheme="minorHAnsi" w:cs="Arial"/>
          <w:b/>
          <w:bCs/>
          <w:color w:val="000000"/>
          <w:sz w:val="20"/>
          <w:szCs w:val="20"/>
          <w:lang w:eastAsia="sl-SI"/>
        </w:rPr>
        <w:t>Javni poziv za izbor operacij za uresničevanje ciljev SLR na območju LAS Posavje v letu 201</w:t>
      </w:r>
      <w:r w:rsidR="00DB5C43">
        <w:rPr>
          <w:rFonts w:asciiTheme="minorHAnsi" w:eastAsia="Times New Roman" w:hAnsiTheme="minorHAnsi" w:cs="Arial"/>
          <w:b/>
          <w:bCs/>
          <w:color w:val="000000"/>
          <w:sz w:val="20"/>
          <w:szCs w:val="20"/>
          <w:lang w:eastAsia="sl-SI"/>
        </w:rPr>
        <w:t>8</w:t>
      </w:r>
      <w:r>
        <w:rPr>
          <w:rFonts w:asciiTheme="minorHAnsi" w:eastAsia="Times New Roman" w:hAnsiTheme="minorHAnsi" w:cs="Arial"/>
          <w:b/>
          <w:bCs/>
          <w:color w:val="000000"/>
          <w:sz w:val="20"/>
          <w:szCs w:val="20"/>
          <w:lang w:eastAsia="sl-SI"/>
        </w:rPr>
        <w:t xml:space="preserve"> ESRR</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p>
    <w:p w:rsidR="00515102" w:rsidRPr="00E84A7F" w:rsidRDefault="00E84A7F" w:rsidP="00E84A7F">
      <w:pPr>
        <w:numPr>
          <w:ilvl w:val="0"/>
          <w:numId w:val="9"/>
        </w:numPr>
        <w:spacing w:after="0" w:line="240"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Identifikacija operacije</w:t>
      </w:r>
    </w:p>
    <w:p w:rsidR="001052F1" w:rsidRDefault="001052F1" w:rsidP="00A53847">
      <w:pPr>
        <w:spacing w:after="0" w:line="240" w:lineRule="auto"/>
        <w:jc w:val="both"/>
        <w:rPr>
          <w:rFonts w:asciiTheme="minorHAnsi" w:eastAsia="Times New Roman" w:hAnsiTheme="minorHAnsi" w:cs="Arial"/>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74"/>
        <w:gridCol w:w="2774"/>
      </w:tblGrid>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Tematsko področje</w:t>
            </w:r>
          </w:p>
          <w:p w:rsidR="007973B4" w:rsidRPr="007973B4" w:rsidRDefault="007973B4" w:rsidP="00F92A2E">
            <w:pPr>
              <w:spacing w:after="0" w:line="240" w:lineRule="auto"/>
              <w:jc w:val="both"/>
              <w:rPr>
                <w:rFonts w:asciiTheme="minorHAnsi" w:eastAsia="Times New Roman" w:hAnsiTheme="minorHAnsi" w:cs="Tahoma"/>
                <w:sz w:val="20"/>
                <w:szCs w:val="20"/>
                <w:lang w:eastAsia="sl-SI"/>
              </w:rPr>
            </w:pP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USTVARJANJE DELOVNIH MEST</w:t>
            </w:r>
          </w:p>
        </w:tc>
      </w:tr>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Ukrep</w:t>
            </w: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U2: Inovativna partnerstva za rast</w:t>
            </w:r>
          </w:p>
          <w:p w:rsidR="007973B4" w:rsidRPr="007973B4" w:rsidRDefault="007973B4" w:rsidP="00F92A2E">
            <w:pPr>
              <w:spacing w:after="0" w:line="240" w:lineRule="auto"/>
              <w:jc w:val="both"/>
              <w:rPr>
                <w:rFonts w:asciiTheme="minorHAnsi" w:eastAsia="Times New Roman" w:hAnsiTheme="minorHAnsi" w:cs="Tahoma"/>
                <w:sz w:val="20"/>
                <w:szCs w:val="20"/>
                <w:lang w:eastAsia="sl-SI"/>
              </w:rPr>
            </w:pPr>
          </w:p>
        </w:tc>
      </w:tr>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Naziv sklada</w:t>
            </w:r>
          </w:p>
          <w:p w:rsidR="007973B4" w:rsidRPr="007973B4" w:rsidRDefault="007973B4" w:rsidP="00F92A2E">
            <w:pPr>
              <w:spacing w:after="0" w:line="240" w:lineRule="auto"/>
              <w:jc w:val="both"/>
              <w:rPr>
                <w:rFonts w:asciiTheme="minorHAnsi" w:eastAsia="Times New Roman" w:hAnsiTheme="minorHAnsi" w:cs="Tahoma"/>
                <w:sz w:val="20"/>
                <w:szCs w:val="20"/>
                <w:lang w:eastAsia="sl-SI"/>
              </w:rPr>
            </w:pP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ESRR</w:t>
            </w:r>
          </w:p>
        </w:tc>
      </w:tr>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Akronim operacije</w:t>
            </w: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Urbana obrt</w:t>
            </w: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p>
        </w:tc>
      </w:tr>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Naziv operacije</w:t>
            </w:r>
          </w:p>
          <w:p w:rsidR="007973B4" w:rsidRPr="007973B4" w:rsidRDefault="007973B4" w:rsidP="00F92A2E">
            <w:pPr>
              <w:spacing w:after="0" w:line="240" w:lineRule="auto"/>
              <w:jc w:val="both"/>
              <w:rPr>
                <w:rFonts w:asciiTheme="minorHAnsi" w:eastAsia="Times New Roman" w:hAnsiTheme="minorHAnsi" w:cs="Tahoma"/>
                <w:sz w:val="20"/>
                <w:szCs w:val="20"/>
                <w:lang w:eastAsia="sl-SI"/>
              </w:rPr>
            </w:pP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OŽIVLJANJE MESTNIH SREDIŠČ S POMOČJO OBRTI</w:t>
            </w: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p>
        </w:tc>
      </w:tr>
      <w:tr w:rsidR="007973B4" w:rsidRPr="007973B4" w:rsidTr="00F92A2E">
        <w:tc>
          <w:tcPr>
            <w:tcW w:w="3514" w:type="dxa"/>
          </w:tcPr>
          <w:p w:rsidR="007973B4" w:rsidRPr="007973B4" w:rsidRDefault="007973B4" w:rsidP="00F92A2E">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Naziv vlagatelja</w:t>
            </w:r>
          </w:p>
          <w:p w:rsidR="007973B4" w:rsidRPr="007973B4" w:rsidRDefault="007973B4" w:rsidP="00F92A2E">
            <w:pPr>
              <w:spacing w:after="0" w:line="240" w:lineRule="auto"/>
              <w:jc w:val="both"/>
              <w:rPr>
                <w:rFonts w:asciiTheme="minorHAnsi" w:eastAsia="Times New Roman" w:hAnsiTheme="minorHAnsi" w:cs="Tahoma"/>
                <w:sz w:val="20"/>
                <w:szCs w:val="20"/>
                <w:lang w:eastAsia="sl-SI"/>
              </w:rPr>
            </w:pPr>
          </w:p>
        </w:tc>
        <w:tc>
          <w:tcPr>
            <w:tcW w:w="5548" w:type="dxa"/>
            <w:gridSpan w:val="2"/>
          </w:tcPr>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Območna Obrtno-Podjetniška zbornica Krško</w:t>
            </w: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Cesta krških žrtev 67</w:t>
            </w: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r w:rsidRPr="007973B4">
              <w:rPr>
                <w:rFonts w:asciiTheme="minorHAnsi" w:eastAsia="Times New Roman" w:hAnsiTheme="minorHAnsi" w:cs="Tahoma"/>
                <w:b/>
                <w:sz w:val="20"/>
                <w:szCs w:val="20"/>
                <w:lang w:eastAsia="sl-SI"/>
              </w:rPr>
              <w:t>8270 Krško</w:t>
            </w:r>
          </w:p>
          <w:p w:rsidR="007973B4" w:rsidRPr="007973B4" w:rsidRDefault="007973B4" w:rsidP="00F92A2E">
            <w:pPr>
              <w:spacing w:after="0" w:line="240" w:lineRule="auto"/>
              <w:jc w:val="both"/>
              <w:rPr>
                <w:rFonts w:asciiTheme="minorHAnsi" w:eastAsia="Times New Roman" w:hAnsiTheme="minorHAnsi" w:cs="Tahoma"/>
                <w:b/>
                <w:sz w:val="20"/>
                <w:szCs w:val="20"/>
                <w:lang w:eastAsia="sl-SI"/>
              </w:rPr>
            </w:pPr>
          </w:p>
        </w:tc>
      </w:tr>
      <w:tr w:rsidR="007973B4" w:rsidRPr="007973B4" w:rsidTr="007C1544">
        <w:trPr>
          <w:trHeight w:val="99"/>
        </w:trPr>
        <w:tc>
          <w:tcPr>
            <w:tcW w:w="3514" w:type="dxa"/>
            <w:vMerge w:val="restart"/>
          </w:tcPr>
          <w:p w:rsidR="007973B4" w:rsidRPr="007973B4" w:rsidRDefault="007973B4" w:rsidP="007973B4">
            <w:pPr>
              <w:spacing w:after="0" w:line="240" w:lineRule="auto"/>
              <w:jc w:val="both"/>
              <w:rPr>
                <w:rFonts w:asciiTheme="minorHAnsi" w:eastAsia="Times New Roman" w:hAnsiTheme="minorHAnsi" w:cs="Tahoma"/>
                <w:sz w:val="20"/>
                <w:szCs w:val="20"/>
                <w:lang w:eastAsia="sl-SI"/>
              </w:rPr>
            </w:pPr>
            <w:r w:rsidRPr="007973B4">
              <w:rPr>
                <w:rFonts w:asciiTheme="minorHAnsi" w:eastAsia="Times New Roman" w:hAnsiTheme="minorHAnsi" w:cs="Tahoma"/>
                <w:sz w:val="20"/>
                <w:szCs w:val="20"/>
                <w:lang w:eastAsia="sl-SI"/>
              </w:rPr>
              <w:t>Naziv partnerjev</w:t>
            </w:r>
            <w:r>
              <w:rPr>
                <w:rFonts w:asciiTheme="minorHAnsi" w:eastAsia="Times New Roman" w:hAnsiTheme="minorHAnsi" w:cs="Tahoma"/>
                <w:sz w:val="20"/>
                <w:szCs w:val="20"/>
                <w:lang w:eastAsia="sl-SI"/>
              </w:rPr>
              <w:t xml:space="preserve"> in višina sofinanciranja</w:t>
            </w:r>
          </w:p>
          <w:p w:rsidR="007973B4" w:rsidRPr="007973B4" w:rsidRDefault="007973B4" w:rsidP="007973B4">
            <w:pPr>
              <w:spacing w:after="0" w:line="240" w:lineRule="auto"/>
              <w:jc w:val="both"/>
              <w:rPr>
                <w:rFonts w:asciiTheme="minorHAnsi" w:eastAsia="Times New Roman" w:hAnsiTheme="minorHAnsi" w:cs="Tahoma"/>
                <w:sz w:val="20"/>
                <w:szCs w:val="20"/>
                <w:lang w:eastAsia="sl-SI"/>
              </w:rPr>
            </w:pPr>
          </w:p>
        </w:tc>
        <w:tc>
          <w:tcPr>
            <w:tcW w:w="2774" w:type="dxa"/>
          </w:tcPr>
          <w:p w:rsidR="007973B4" w:rsidRPr="007973B4" w:rsidRDefault="007973B4" w:rsidP="007973B4">
            <w:pPr>
              <w:rPr>
                <w:rFonts w:asciiTheme="minorHAnsi" w:hAnsiTheme="minorHAnsi"/>
                <w:b/>
                <w:sz w:val="20"/>
                <w:szCs w:val="20"/>
              </w:rPr>
            </w:pPr>
            <w:r w:rsidRPr="007973B4">
              <w:rPr>
                <w:rFonts w:asciiTheme="minorHAnsi" w:hAnsiTheme="minorHAnsi"/>
                <w:b/>
                <w:sz w:val="20"/>
                <w:szCs w:val="20"/>
              </w:rPr>
              <w:t>OBMOČNA OBRTNO-PODJETNIŠKA ZBORNICA KRŠKO</w:t>
            </w:r>
          </w:p>
        </w:tc>
        <w:tc>
          <w:tcPr>
            <w:tcW w:w="2774" w:type="dxa"/>
          </w:tcPr>
          <w:p w:rsidR="007973B4" w:rsidRPr="007973B4" w:rsidRDefault="00F74263" w:rsidP="007973B4">
            <w:pPr>
              <w:rPr>
                <w:rFonts w:asciiTheme="minorHAnsi" w:hAnsiTheme="minorHAnsi"/>
                <w:b/>
                <w:sz w:val="20"/>
                <w:szCs w:val="20"/>
              </w:rPr>
            </w:pPr>
            <w:r w:rsidRPr="00F74263">
              <w:rPr>
                <w:rFonts w:asciiTheme="minorHAnsi" w:hAnsiTheme="minorHAnsi"/>
                <w:b/>
                <w:sz w:val="20"/>
                <w:szCs w:val="20"/>
              </w:rPr>
              <w:t>20.987,09</w:t>
            </w:r>
          </w:p>
        </w:tc>
      </w:tr>
      <w:tr w:rsidR="007973B4" w:rsidRPr="007973B4" w:rsidTr="007C1544">
        <w:trPr>
          <w:trHeight w:val="99"/>
        </w:trPr>
        <w:tc>
          <w:tcPr>
            <w:tcW w:w="3514" w:type="dxa"/>
            <w:vMerge/>
          </w:tcPr>
          <w:p w:rsidR="007973B4" w:rsidRPr="007973B4" w:rsidRDefault="007973B4" w:rsidP="007973B4">
            <w:pPr>
              <w:spacing w:after="0" w:line="240" w:lineRule="auto"/>
              <w:jc w:val="both"/>
              <w:rPr>
                <w:rFonts w:asciiTheme="minorHAnsi" w:eastAsia="Times New Roman" w:hAnsiTheme="minorHAnsi" w:cs="Tahoma"/>
                <w:sz w:val="20"/>
                <w:szCs w:val="20"/>
                <w:lang w:eastAsia="sl-SI"/>
              </w:rPr>
            </w:pPr>
          </w:p>
        </w:tc>
        <w:tc>
          <w:tcPr>
            <w:tcW w:w="2774" w:type="dxa"/>
          </w:tcPr>
          <w:p w:rsidR="007973B4" w:rsidRPr="007973B4" w:rsidRDefault="007973B4" w:rsidP="007973B4">
            <w:pPr>
              <w:rPr>
                <w:rFonts w:asciiTheme="minorHAnsi" w:hAnsiTheme="minorHAnsi"/>
                <w:b/>
                <w:sz w:val="20"/>
                <w:szCs w:val="20"/>
              </w:rPr>
            </w:pPr>
            <w:r w:rsidRPr="007973B4">
              <w:rPr>
                <w:rFonts w:asciiTheme="minorHAnsi" w:hAnsiTheme="minorHAnsi"/>
                <w:b/>
                <w:sz w:val="20"/>
                <w:szCs w:val="20"/>
              </w:rPr>
              <w:t>OBČINA KRŠKO</w:t>
            </w:r>
          </w:p>
        </w:tc>
        <w:tc>
          <w:tcPr>
            <w:tcW w:w="2774" w:type="dxa"/>
          </w:tcPr>
          <w:p w:rsidR="007973B4" w:rsidRPr="007973B4" w:rsidRDefault="00F74263" w:rsidP="007973B4">
            <w:pPr>
              <w:rPr>
                <w:rFonts w:asciiTheme="minorHAnsi" w:hAnsiTheme="minorHAnsi"/>
                <w:b/>
                <w:sz w:val="20"/>
                <w:szCs w:val="20"/>
              </w:rPr>
            </w:pPr>
            <w:r w:rsidRPr="00F74263">
              <w:rPr>
                <w:rFonts w:asciiTheme="minorHAnsi" w:hAnsiTheme="minorHAnsi"/>
                <w:b/>
                <w:sz w:val="20"/>
                <w:szCs w:val="20"/>
              </w:rPr>
              <w:t>61.442,76</w:t>
            </w:r>
          </w:p>
        </w:tc>
      </w:tr>
      <w:tr w:rsidR="007973B4" w:rsidRPr="007973B4" w:rsidTr="007C1544">
        <w:trPr>
          <w:trHeight w:val="99"/>
        </w:trPr>
        <w:tc>
          <w:tcPr>
            <w:tcW w:w="3514" w:type="dxa"/>
            <w:vMerge/>
          </w:tcPr>
          <w:p w:rsidR="007973B4" w:rsidRPr="007973B4" w:rsidRDefault="007973B4" w:rsidP="007973B4">
            <w:pPr>
              <w:spacing w:after="0" w:line="240" w:lineRule="auto"/>
              <w:jc w:val="both"/>
              <w:rPr>
                <w:rFonts w:asciiTheme="minorHAnsi" w:eastAsia="Times New Roman" w:hAnsiTheme="minorHAnsi" w:cs="Tahoma"/>
                <w:sz w:val="20"/>
                <w:szCs w:val="20"/>
                <w:lang w:eastAsia="sl-SI"/>
              </w:rPr>
            </w:pPr>
          </w:p>
        </w:tc>
        <w:tc>
          <w:tcPr>
            <w:tcW w:w="2774" w:type="dxa"/>
          </w:tcPr>
          <w:p w:rsidR="007973B4" w:rsidRPr="007973B4" w:rsidRDefault="007973B4" w:rsidP="007973B4">
            <w:pPr>
              <w:rPr>
                <w:rFonts w:asciiTheme="minorHAnsi" w:hAnsiTheme="minorHAnsi"/>
                <w:b/>
                <w:sz w:val="20"/>
                <w:szCs w:val="20"/>
              </w:rPr>
            </w:pPr>
            <w:r w:rsidRPr="007973B4">
              <w:rPr>
                <w:rFonts w:asciiTheme="minorHAnsi" w:hAnsiTheme="minorHAnsi"/>
                <w:b/>
                <w:sz w:val="20"/>
                <w:szCs w:val="20"/>
              </w:rPr>
              <w:t>OBČINA SEVNICA</w:t>
            </w:r>
          </w:p>
        </w:tc>
        <w:tc>
          <w:tcPr>
            <w:tcW w:w="2774" w:type="dxa"/>
          </w:tcPr>
          <w:p w:rsidR="007973B4" w:rsidRPr="007973B4" w:rsidRDefault="00F74263" w:rsidP="007973B4">
            <w:pPr>
              <w:rPr>
                <w:rFonts w:asciiTheme="minorHAnsi" w:hAnsiTheme="minorHAnsi"/>
                <w:b/>
                <w:sz w:val="20"/>
                <w:szCs w:val="20"/>
              </w:rPr>
            </w:pPr>
            <w:r w:rsidRPr="00F74263">
              <w:rPr>
                <w:rFonts w:asciiTheme="minorHAnsi" w:hAnsiTheme="minorHAnsi"/>
                <w:b/>
                <w:sz w:val="20"/>
                <w:szCs w:val="20"/>
              </w:rPr>
              <w:t>39.357,64</w:t>
            </w:r>
          </w:p>
        </w:tc>
      </w:tr>
      <w:tr w:rsidR="007973B4" w:rsidRPr="007973B4" w:rsidTr="007C1544">
        <w:trPr>
          <w:trHeight w:val="99"/>
        </w:trPr>
        <w:tc>
          <w:tcPr>
            <w:tcW w:w="3514" w:type="dxa"/>
            <w:vMerge/>
          </w:tcPr>
          <w:p w:rsidR="007973B4" w:rsidRPr="007973B4" w:rsidRDefault="007973B4" w:rsidP="007973B4">
            <w:pPr>
              <w:spacing w:after="0" w:line="240" w:lineRule="auto"/>
              <w:jc w:val="both"/>
              <w:rPr>
                <w:rFonts w:asciiTheme="minorHAnsi" w:eastAsia="Times New Roman" w:hAnsiTheme="minorHAnsi" w:cs="Tahoma"/>
                <w:sz w:val="20"/>
                <w:szCs w:val="20"/>
                <w:lang w:eastAsia="sl-SI"/>
              </w:rPr>
            </w:pPr>
          </w:p>
        </w:tc>
        <w:tc>
          <w:tcPr>
            <w:tcW w:w="2774" w:type="dxa"/>
          </w:tcPr>
          <w:p w:rsidR="007973B4" w:rsidRPr="007973B4" w:rsidRDefault="007973B4" w:rsidP="007973B4">
            <w:pPr>
              <w:rPr>
                <w:rFonts w:asciiTheme="minorHAnsi" w:hAnsiTheme="minorHAnsi"/>
                <w:b/>
                <w:sz w:val="20"/>
                <w:szCs w:val="20"/>
              </w:rPr>
            </w:pPr>
            <w:r w:rsidRPr="007973B4">
              <w:rPr>
                <w:rFonts w:asciiTheme="minorHAnsi" w:hAnsiTheme="minorHAnsi"/>
                <w:b/>
                <w:sz w:val="20"/>
                <w:szCs w:val="20"/>
              </w:rPr>
              <w:t>OBČINA BISTRICA OB SOTLI</w:t>
            </w:r>
          </w:p>
        </w:tc>
        <w:tc>
          <w:tcPr>
            <w:tcW w:w="2774" w:type="dxa"/>
          </w:tcPr>
          <w:p w:rsidR="007973B4" w:rsidRPr="007973B4" w:rsidRDefault="00F74263" w:rsidP="007973B4">
            <w:pPr>
              <w:rPr>
                <w:rFonts w:asciiTheme="minorHAnsi" w:hAnsiTheme="minorHAnsi"/>
                <w:b/>
                <w:sz w:val="20"/>
                <w:szCs w:val="20"/>
              </w:rPr>
            </w:pPr>
            <w:r w:rsidRPr="00F74263">
              <w:rPr>
                <w:rFonts w:asciiTheme="minorHAnsi" w:hAnsiTheme="minorHAnsi"/>
                <w:b/>
                <w:sz w:val="20"/>
                <w:szCs w:val="20"/>
              </w:rPr>
              <w:t>23.361,40</w:t>
            </w:r>
          </w:p>
        </w:tc>
      </w:tr>
      <w:tr w:rsidR="007973B4" w:rsidRPr="007973B4" w:rsidTr="007C1544">
        <w:trPr>
          <w:trHeight w:val="99"/>
        </w:trPr>
        <w:tc>
          <w:tcPr>
            <w:tcW w:w="3514" w:type="dxa"/>
            <w:vMerge/>
          </w:tcPr>
          <w:p w:rsidR="007973B4" w:rsidRPr="007973B4" w:rsidRDefault="007973B4" w:rsidP="007973B4">
            <w:pPr>
              <w:spacing w:after="0" w:line="240" w:lineRule="auto"/>
              <w:jc w:val="both"/>
              <w:rPr>
                <w:rFonts w:asciiTheme="minorHAnsi" w:eastAsia="Times New Roman" w:hAnsiTheme="minorHAnsi" w:cs="Tahoma"/>
                <w:sz w:val="20"/>
                <w:szCs w:val="20"/>
                <w:lang w:eastAsia="sl-SI"/>
              </w:rPr>
            </w:pPr>
          </w:p>
        </w:tc>
        <w:tc>
          <w:tcPr>
            <w:tcW w:w="2774" w:type="dxa"/>
          </w:tcPr>
          <w:p w:rsidR="007973B4" w:rsidRPr="007973B4" w:rsidRDefault="007973B4" w:rsidP="007973B4">
            <w:pPr>
              <w:rPr>
                <w:rFonts w:asciiTheme="minorHAnsi" w:hAnsiTheme="minorHAnsi"/>
                <w:b/>
                <w:sz w:val="20"/>
                <w:szCs w:val="20"/>
              </w:rPr>
            </w:pPr>
            <w:r w:rsidRPr="007973B4">
              <w:rPr>
                <w:rFonts w:asciiTheme="minorHAnsi" w:hAnsiTheme="minorHAnsi"/>
                <w:b/>
                <w:sz w:val="20"/>
                <w:szCs w:val="20"/>
              </w:rPr>
              <w:t>ZAVOD DOBRA DRUŽBA</w:t>
            </w:r>
          </w:p>
        </w:tc>
        <w:tc>
          <w:tcPr>
            <w:tcW w:w="2774" w:type="dxa"/>
          </w:tcPr>
          <w:p w:rsidR="007973B4" w:rsidRPr="007973B4" w:rsidRDefault="00F74263" w:rsidP="007973B4">
            <w:pPr>
              <w:rPr>
                <w:rFonts w:asciiTheme="minorHAnsi" w:hAnsiTheme="minorHAnsi"/>
                <w:b/>
                <w:sz w:val="20"/>
                <w:szCs w:val="20"/>
              </w:rPr>
            </w:pPr>
            <w:r w:rsidRPr="00F74263">
              <w:rPr>
                <w:rFonts w:asciiTheme="minorHAnsi" w:hAnsiTheme="minorHAnsi"/>
                <w:b/>
                <w:sz w:val="20"/>
                <w:szCs w:val="20"/>
              </w:rPr>
              <w:t>4.139,60</w:t>
            </w:r>
          </w:p>
        </w:tc>
      </w:tr>
      <w:tr w:rsidR="007973B4" w:rsidRPr="007973B4" w:rsidTr="00F92A2E">
        <w:tc>
          <w:tcPr>
            <w:tcW w:w="3514" w:type="dxa"/>
          </w:tcPr>
          <w:p w:rsidR="007973B4" w:rsidRPr="007973B4" w:rsidRDefault="007973B4" w:rsidP="00F92A2E">
            <w:pPr>
              <w:rPr>
                <w:rFonts w:asciiTheme="minorHAnsi" w:hAnsiTheme="minorHAnsi"/>
                <w:sz w:val="20"/>
                <w:szCs w:val="20"/>
              </w:rPr>
            </w:pPr>
            <w:r w:rsidRPr="007973B4">
              <w:rPr>
                <w:rFonts w:asciiTheme="minorHAnsi" w:hAnsiTheme="minorHAnsi"/>
                <w:sz w:val="20"/>
                <w:szCs w:val="20"/>
              </w:rPr>
              <w:t>Skupna vrednost celotne operacije</w:t>
            </w:r>
          </w:p>
        </w:tc>
        <w:tc>
          <w:tcPr>
            <w:tcW w:w="5548" w:type="dxa"/>
            <w:gridSpan w:val="2"/>
          </w:tcPr>
          <w:p w:rsidR="007973B4" w:rsidRPr="007973B4" w:rsidRDefault="00F74263" w:rsidP="00F92A2E">
            <w:pPr>
              <w:rPr>
                <w:rFonts w:asciiTheme="minorHAnsi" w:hAnsiTheme="minorHAnsi"/>
                <w:b/>
                <w:sz w:val="20"/>
                <w:szCs w:val="20"/>
              </w:rPr>
            </w:pPr>
            <w:r w:rsidRPr="00F74263">
              <w:rPr>
                <w:rFonts w:asciiTheme="minorHAnsi" w:hAnsiTheme="minorHAnsi"/>
                <w:b/>
                <w:sz w:val="20"/>
                <w:szCs w:val="20"/>
              </w:rPr>
              <w:t>218.060,74</w:t>
            </w:r>
            <w:r>
              <w:rPr>
                <w:rFonts w:asciiTheme="minorHAnsi" w:hAnsiTheme="minorHAnsi"/>
                <w:b/>
                <w:sz w:val="20"/>
                <w:szCs w:val="20"/>
              </w:rPr>
              <w:t xml:space="preserve"> </w:t>
            </w:r>
            <w:r w:rsidR="007973B4" w:rsidRPr="007973B4">
              <w:rPr>
                <w:rFonts w:asciiTheme="minorHAnsi" w:hAnsiTheme="minorHAnsi"/>
                <w:b/>
                <w:sz w:val="20"/>
                <w:szCs w:val="20"/>
              </w:rPr>
              <w:t>€</w:t>
            </w:r>
          </w:p>
        </w:tc>
      </w:tr>
      <w:tr w:rsidR="007973B4" w:rsidRPr="007973B4" w:rsidTr="00F92A2E">
        <w:tc>
          <w:tcPr>
            <w:tcW w:w="3514" w:type="dxa"/>
          </w:tcPr>
          <w:p w:rsidR="007973B4" w:rsidRPr="007973B4" w:rsidRDefault="007973B4" w:rsidP="00F92A2E">
            <w:pPr>
              <w:rPr>
                <w:rFonts w:asciiTheme="minorHAnsi" w:hAnsiTheme="minorHAnsi"/>
                <w:sz w:val="20"/>
                <w:szCs w:val="20"/>
              </w:rPr>
            </w:pPr>
            <w:r w:rsidRPr="007973B4">
              <w:rPr>
                <w:rFonts w:asciiTheme="minorHAnsi" w:hAnsiTheme="minorHAnsi"/>
                <w:sz w:val="20"/>
                <w:szCs w:val="20"/>
              </w:rPr>
              <w:t>Višina sofinanciranja</w:t>
            </w:r>
          </w:p>
        </w:tc>
        <w:tc>
          <w:tcPr>
            <w:tcW w:w="5548" w:type="dxa"/>
            <w:gridSpan w:val="2"/>
          </w:tcPr>
          <w:p w:rsidR="007973B4" w:rsidRPr="007973B4" w:rsidRDefault="00F74263" w:rsidP="00F92A2E">
            <w:pPr>
              <w:rPr>
                <w:rFonts w:asciiTheme="minorHAnsi" w:hAnsiTheme="minorHAnsi"/>
                <w:b/>
                <w:sz w:val="20"/>
                <w:szCs w:val="20"/>
              </w:rPr>
            </w:pPr>
            <w:r w:rsidRPr="00F74263">
              <w:rPr>
                <w:rFonts w:asciiTheme="minorHAnsi" w:hAnsiTheme="minorHAnsi"/>
                <w:b/>
                <w:sz w:val="20"/>
                <w:szCs w:val="20"/>
              </w:rPr>
              <w:t>149.288,49</w:t>
            </w:r>
            <w:r>
              <w:rPr>
                <w:rFonts w:asciiTheme="minorHAnsi" w:hAnsiTheme="minorHAnsi"/>
                <w:b/>
                <w:sz w:val="20"/>
                <w:szCs w:val="20"/>
              </w:rPr>
              <w:t xml:space="preserve"> </w:t>
            </w:r>
            <w:r w:rsidR="007973B4" w:rsidRPr="007973B4">
              <w:rPr>
                <w:rFonts w:asciiTheme="minorHAnsi" w:hAnsiTheme="minorHAnsi"/>
                <w:b/>
                <w:sz w:val="20"/>
                <w:szCs w:val="20"/>
              </w:rPr>
              <w:t>€</w:t>
            </w:r>
          </w:p>
        </w:tc>
      </w:tr>
      <w:tr w:rsidR="007973B4" w:rsidRPr="007973B4" w:rsidTr="00F92A2E">
        <w:tc>
          <w:tcPr>
            <w:tcW w:w="3514" w:type="dxa"/>
          </w:tcPr>
          <w:p w:rsidR="007973B4" w:rsidRPr="007973B4" w:rsidRDefault="007973B4" w:rsidP="00F92A2E">
            <w:pPr>
              <w:rPr>
                <w:rFonts w:asciiTheme="minorHAnsi" w:hAnsiTheme="minorHAnsi"/>
                <w:sz w:val="20"/>
                <w:szCs w:val="20"/>
              </w:rPr>
            </w:pPr>
            <w:r w:rsidRPr="007973B4">
              <w:rPr>
                <w:rFonts w:asciiTheme="minorHAnsi" w:hAnsiTheme="minorHAnsi"/>
                <w:sz w:val="20"/>
                <w:szCs w:val="20"/>
              </w:rPr>
              <w:t>Trajanje operacije</w:t>
            </w:r>
          </w:p>
        </w:tc>
        <w:tc>
          <w:tcPr>
            <w:tcW w:w="5548" w:type="dxa"/>
            <w:gridSpan w:val="2"/>
          </w:tcPr>
          <w:p w:rsidR="007973B4" w:rsidRPr="007973B4" w:rsidRDefault="007973B4" w:rsidP="00F92A2E">
            <w:pPr>
              <w:rPr>
                <w:rFonts w:asciiTheme="minorHAnsi" w:hAnsiTheme="minorHAnsi"/>
                <w:b/>
                <w:sz w:val="20"/>
                <w:szCs w:val="20"/>
              </w:rPr>
            </w:pPr>
            <w:r w:rsidRPr="007973B4">
              <w:rPr>
                <w:rFonts w:asciiTheme="minorHAnsi" w:hAnsiTheme="minorHAnsi"/>
                <w:b/>
                <w:sz w:val="20"/>
                <w:szCs w:val="20"/>
              </w:rPr>
              <w:t>1.3.2019 – 31.12.2020</w:t>
            </w:r>
            <w:r w:rsidR="00CB1CCF">
              <w:rPr>
                <w:rFonts w:asciiTheme="minorHAnsi" w:hAnsiTheme="minorHAnsi"/>
                <w:b/>
                <w:sz w:val="20"/>
                <w:szCs w:val="20"/>
              </w:rPr>
              <w:t xml:space="preserve"> (22 mesecev)</w:t>
            </w:r>
          </w:p>
        </w:tc>
      </w:tr>
    </w:tbl>
    <w:p w:rsidR="00E84A7F" w:rsidRDefault="00E84A7F" w:rsidP="00E84A7F">
      <w:pPr>
        <w:spacing w:after="0" w:line="240" w:lineRule="auto"/>
        <w:rPr>
          <w:rFonts w:asciiTheme="minorHAnsi" w:eastAsia="Times New Roman" w:hAnsiTheme="minorHAnsi" w:cs="Arial"/>
          <w:sz w:val="20"/>
          <w:szCs w:val="20"/>
          <w:lang w:eastAsia="sl-SI"/>
        </w:rPr>
      </w:pPr>
    </w:p>
    <w:p w:rsidR="004D237D" w:rsidRDefault="004D237D" w:rsidP="00E84A7F">
      <w:pPr>
        <w:spacing w:after="0" w:line="240" w:lineRule="auto"/>
        <w:rPr>
          <w:rFonts w:asciiTheme="minorHAnsi" w:eastAsia="Times New Roman" w:hAnsiTheme="minorHAnsi" w:cs="Arial"/>
          <w:sz w:val="20"/>
          <w:szCs w:val="20"/>
          <w:lang w:eastAsia="sl-SI"/>
        </w:rPr>
      </w:pPr>
    </w:p>
    <w:p w:rsidR="004D237D" w:rsidRDefault="004D237D" w:rsidP="00E84A7F">
      <w:pPr>
        <w:spacing w:after="0" w:line="240" w:lineRule="auto"/>
        <w:rPr>
          <w:rFonts w:asciiTheme="minorHAnsi" w:eastAsia="Times New Roman" w:hAnsiTheme="minorHAnsi" w:cs="Arial"/>
          <w:sz w:val="20"/>
          <w:szCs w:val="20"/>
          <w:lang w:eastAsia="sl-SI"/>
        </w:rPr>
      </w:pPr>
      <w:bookmarkStart w:id="1" w:name="_GoBack"/>
      <w:bookmarkEnd w:id="1"/>
    </w:p>
    <w:p w:rsidR="00056B96" w:rsidRPr="00056B96" w:rsidRDefault="00D009B2" w:rsidP="00056B96">
      <w:pPr>
        <w:pStyle w:val="Odstavekseznama"/>
        <w:numPr>
          <w:ilvl w:val="0"/>
          <w:numId w:val="9"/>
        </w:numPr>
        <w:spacing w:after="0" w:line="240" w:lineRule="auto"/>
        <w:rPr>
          <w:rFonts w:asciiTheme="minorHAnsi" w:eastAsia="Times New Roman" w:hAnsiTheme="minorHAnsi" w:cs="Arial"/>
          <w:b/>
          <w:sz w:val="20"/>
          <w:szCs w:val="20"/>
          <w:lang w:eastAsia="sl-SI"/>
        </w:rPr>
      </w:pPr>
      <w:r w:rsidRPr="00056B96">
        <w:rPr>
          <w:rFonts w:asciiTheme="minorHAnsi" w:eastAsia="Times New Roman" w:hAnsiTheme="minorHAnsi" w:cs="Arial"/>
          <w:b/>
          <w:sz w:val="20"/>
          <w:szCs w:val="20"/>
          <w:lang w:eastAsia="sl-SI"/>
        </w:rPr>
        <w:t>Opis</w:t>
      </w:r>
    </w:p>
    <w:tbl>
      <w:tblPr>
        <w:tblStyle w:val="Tabelamrea"/>
        <w:tblW w:w="0" w:type="auto"/>
        <w:tblLook w:val="04A0" w:firstRow="1" w:lastRow="0" w:firstColumn="1" w:lastColumn="0" w:noHBand="0" w:noVBand="1"/>
      </w:tblPr>
      <w:tblGrid>
        <w:gridCol w:w="9212"/>
      </w:tblGrid>
      <w:tr w:rsidR="00D009B2" w:rsidTr="00D009B2">
        <w:tc>
          <w:tcPr>
            <w:tcW w:w="9212" w:type="dxa"/>
          </w:tcPr>
          <w:p w:rsidR="00D009B2" w:rsidRDefault="002A776D" w:rsidP="00D009B2">
            <w:pPr>
              <w:spacing w:after="0" w:line="240" w:lineRule="auto"/>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 xml:space="preserve">Mestna središča Posavja s svojo dediščino, katere del so tudi obrtne dejavnosti, imajo odlične potenciale za razvoj in nadgradnjo turistične ponudbe, temelječe na doživetih zgodbah preteklosti. Spodbujali bomo lokalne ponudnike za razvoj in ohranitev številnih obrti in tako krepili všečnost turistične ponudbe, ki bo obogatena z novimi produkti, inovativnim pristopom, vključujoč mlade, starejše, ženske in druge ranljive skupine. Zasledujemo model TCM (Town </w:t>
            </w:r>
            <w:proofErr w:type="spellStart"/>
            <w:r w:rsidRPr="002A776D">
              <w:rPr>
                <w:rFonts w:asciiTheme="minorHAnsi" w:eastAsia="Times New Roman" w:hAnsiTheme="minorHAnsi" w:cs="Arial"/>
                <w:sz w:val="20"/>
                <w:szCs w:val="20"/>
                <w:lang w:eastAsia="sl-SI"/>
              </w:rPr>
              <w:t>city</w:t>
            </w:r>
            <w:proofErr w:type="spellEnd"/>
            <w:r w:rsidRPr="002A776D">
              <w:rPr>
                <w:rFonts w:asciiTheme="minorHAnsi" w:eastAsia="Times New Roman" w:hAnsiTheme="minorHAnsi" w:cs="Arial"/>
                <w:sz w:val="20"/>
                <w:szCs w:val="20"/>
                <w:lang w:eastAsia="sl-SI"/>
              </w:rPr>
              <w:t xml:space="preserve"> management), ki povezuje in nadgrajuje ponudbo različnih sektorjev, jih trženjsko povezali in ob tem okrepili pogoje za rast malih ponudnikov v perspektivnih dejavnosti.</w:t>
            </w:r>
          </w:p>
        </w:tc>
      </w:tr>
    </w:tbl>
    <w:p w:rsidR="00D009B2" w:rsidRPr="00D009B2" w:rsidRDefault="00D009B2" w:rsidP="00D009B2">
      <w:pPr>
        <w:spacing w:after="0" w:line="240" w:lineRule="auto"/>
        <w:rPr>
          <w:rFonts w:asciiTheme="minorHAnsi" w:eastAsia="Times New Roman" w:hAnsiTheme="minorHAnsi" w:cs="Arial"/>
          <w:sz w:val="20"/>
          <w:szCs w:val="20"/>
          <w:lang w:eastAsia="sl-SI"/>
        </w:rPr>
      </w:pPr>
    </w:p>
    <w:p w:rsidR="00E84A7F" w:rsidRPr="00D009B2" w:rsidRDefault="00E84A7F" w:rsidP="00D009B2">
      <w:pPr>
        <w:numPr>
          <w:ilvl w:val="0"/>
          <w:numId w:val="9"/>
        </w:numPr>
        <w:spacing w:after="160" w:line="259" w:lineRule="auto"/>
        <w:contextualSpacing/>
        <w:rPr>
          <w:rFonts w:asciiTheme="minorHAnsi" w:eastAsia="Times New Roman" w:hAnsiTheme="minorHAnsi" w:cs="Arial"/>
          <w:b/>
          <w:sz w:val="20"/>
          <w:szCs w:val="20"/>
          <w:lang w:eastAsia="sl-SI"/>
        </w:rPr>
      </w:pPr>
      <w:r w:rsidRPr="00D009B2">
        <w:rPr>
          <w:rFonts w:asciiTheme="minorHAnsi" w:eastAsia="Times New Roman" w:hAnsiTheme="minorHAnsi" w:cs="Arial"/>
          <w:b/>
          <w:sz w:val="20"/>
          <w:szCs w:val="20"/>
          <w:lang w:eastAsia="sl-SI"/>
        </w:rPr>
        <w:lastRenderedPageBreak/>
        <w:t>Cilj</w:t>
      </w:r>
      <w:r w:rsidR="00D009B2" w:rsidRPr="00D009B2">
        <w:rPr>
          <w:rFonts w:asciiTheme="minorHAnsi" w:eastAsia="Times New Roman" w:hAnsiTheme="minorHAnsi" w:cs="Arial"/>
          <w:b/>
          <w:sz w:val="20"/>
          <w:szCs w:val="20"/>
          <w:lang w:eastAsia="sl-SI"/>
        </w:rPr>
        <w:t xml:space="preserve">i, </w:t>
      </w:r>
      <w:r w:rsidRPr="00D009B2">
        <w:rPr>
          <w:rFonts w:asciiTheme="minorHAnsi" w:eastAsia="Times New Roman" w:hAnsiTheme="minorHAnsi" w:cs="Arial"/>
          <w:b/>
          <w:bCs/>
          <w:sz w:val="20"/>
          <w:szCs w:val="20"/>
          <w:lang w:eastAsia="sl-SI"/>
        </w:rPr>
        <w:t xml:space="preserve">ki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4A7F" w:rsidRPr="00AD03E9" w:rsidTr="001142EB">
        <w:tc>
          <w:tcPr>
            <w:tcW w:w="9212" w:type="dxa"/>
          </w:tcPr>
          <w:p w:rsid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 xml:space="preserve">Operacija bo prispevala k naslednjim posebnim ciljem Strategije lokalnega razvoja LAS Posavje: </w:t>
            </w: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Cilj 1.1: Ustvariti zaposlitvene priložnosti in kakovostna delovna mesta</w:t>
            </w:r>
          </w:p>
          <w:p w:rsid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V operaciji bo poudarek na razvoju in nadgradnji turistične ponudbe, ki bo povezovala različne lokalne akterje (gostince, obrtnike, muzeje, nevladni sektor) in bo tako ob aktiviranju kulturne dediščine spodbudila tudi ustvarjanje novih delovnih mest in storitev. Preko usposabljanj bo povečana zmožnost nosilcev podjetniških idej oz. potencialnih podjetnikov, da se svojo idejo uresničijo skozi podjetje in si s tem ustvarijo delovno mesto.</w:t>
            </w: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Cilj 1.2: Krepiti pogoje za rast malih ponudnikov v perspektivnih dejavnostih</w:t>
            </w:r>
          </w:p>
          <w:p w:rsid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 xml:space="preserve">V okviru razvoja in nadgradnje turistične ponudbe bo poseben poudarek na spodbujanju povezovanja ponudnikov s ciljem oblikovanja celovite turistične ponudbe v mestnih središčih in s tem tudi skupnega nastopa na trgu (princip mestnega marketinga). Ob tem je cilj vzpostaviti inovativno partnerstvo različnih sektorjev, ponudniki bodo okrepili svoj tržni položaj, ohranili obstoječe zaposlitve oz. razvili priložnosti za dodatno zaposlovanje na področju gostinstva, turizma, kulturne dediščine, lokalno tradicionalnih obrteh. Nov razvoj novega turističnega produkta bo pomembno prispeval k novim znanjem in kompetencam nosilcem dejavnosti. </w:t>
            </w: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Cilj 3.1: Izboljšati stanje okolja za večjo kakovost življenja in dela</w:t>
            </w:r>
          </w:p>
          <w:p w:rsid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Operacija bo prispevala tudi k izboljšanju stanju okolja in večji kakovosti življenja in dela, zlasti na področju ponovne uporabe na področju oblačil, usnjenih izdelkov. Namreč zlasti oblačila, ki so iz sodobnih, cenenih materialov z veliko plastičnih vlaken, predstavljajo vse večji delež težko razgradljivih odpadkov in s tem veliko obremenitev okolja. Z delavnicami in spodbujanjem popravila oblačil oz. ponovne uporabe materiala bo operacija pripevala k večji ozaveščenosti prebivalcev o tem kako lahko tudi sami veliko prispevajo k boljšemu stanju okolja. Spodbujena bo trajnostno naravnana potrošnja (lokalne obrtne storitve) in razvita nova rešitev (popravljalnica – popravi si sam, prostor obrtnih storitev).</w:t>
            </w: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p>
          <w:p w:rsidR="002A776D" w:rsidRPr="002A776D"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Cilj 4.1: Izboljšati pogoje za vključenost ranljivih ciljnih skupin v družbo</w:t>
            </w:r>
          </w:p>
          <w:p w:rsidR="00E84A7F" w:rsidRPr="00AD03E9" w:rsidRDefault="002A776D" w:rsidP="002A776D">
            <w:pPr>
              <w:spacing w:after="0" w:line="240" w:lineRule="auto"/>
              <w:jc w:val="both"/>
              <w:rPr>
                <w:rFonts w:asciiTheme="minorHAnsi" w:eastAsia="Times New Roman" w:hAnsiTheme="minorHAnsi" w:cs="Arial"/>
                <w:sz w:val="20"/>
                <w:szCs w:val="20"/>
                <w:lang w:eastAsia="sl-SI"/>
              </w:rPr>
            </w:pPr>
            <w:r w:rsidRPr="002A776D">
              <w:rPr>
                <w:rFonts w:asciiTheme="minorHAnsi" w:eastAsia="Times New Roman" w:hAnsiTheme="minorHAnsi" w:cs="Arial"/>
                <w:sz w:val="20"/>
                <w:szCs w:val="20"/>
                <w:lang w:eastAsia="sl-SI"/>
              </w:rPr>
              <w:t xml:space="preserve">Operacija bo z inovativnim pristopom pri razvoju turistične ponudbe (vključevanje principov </w:t>
            </w:r>
            <w:proofErr w:type="spellStart"/>
            <w:r w:rsidRPr="002A776D">
              <w:rPr>
                <w:rFonts w:asciiTheme="minorHAnsi" w:eastAsia="Times New Roman" w:hAnsiTheme="minorHAnsi" w:cs="Arial"/>
                <w:sz w:val="20"/>
                <w:szCs w:val="20"/>
                <w:lang w:eastAsia="sl-SI"/>
              </w:rPr>
              <w:t>igrifikacije</w:t>
            </w:r>
            <w:proofErr w:type="spellEnd"/>
            <w:r w:rsidRPr="002A776D">
              <w:rPr>
                <w:rFonts w:asciiTheme="minorHAnsi" w:eastAsia="Times New Roman" w:hAnsiTheme="minorHAnsi" w:cs="Arial"/>
                <w:sz w:val="20"/>
                <w:szCs w:val="20"/>
                <w:lang w:eastAsia="sl-SI"/>
              </w:rPr>
              <w:t xml:space="preserve"> v turistično ponudbo so novost na območju LAS) in z možnostjo sodelovanja v aktivnostih celotni lokalni skupnosti (brezplačnost dogodkov in široko informiranje) prispevala k večji vključenosti ranljivih ciljnih skupin v družbo. Ranljive ciljne skupine si bodo ob večji vključenosti lahko izboljšale tudi svoj zaposlitveni status.</w:t>
            </w:r>
          </w:p>
        </w:tc>
      </w:tr>
    </w:tbl>
    <w:p w:rsidR="00E84A7F" w:rsidRPr="00E84A7F" w:rsidRDefault="00E84A7F" w:rsidP="00E84A7F">
      <w:pPr>
        <w:spacing w:after="0" w:line="240" w:lineRule="auto"/>
        <w:rPr>
          <w:rFonts w:asciiTheme="minorHAnsi" w:eastAsia="Times New Roman" w:hAnsiTheme="minorHAnsi" w:cs="Arial"/>
          <w:b/>
          <w:sz w:val="20"/>
          <w:szCs w:val="20"/>
          <w:lang w:eastAsia="sl-SI"/>
        </w:rPr>
      </w:pPr>
    </w:p>
    <w:p w:rsidR="002A776D" w:rsidRPr="002A776D" w:rsidRDefault="00290923" w:rsidP="002A776D">
      <w:pPr>
        <w:numPr>
          <w:ilvl w:val="0"/>
          <w:numId w:val="9"/>
        </w:numPr>
        <w:spacing w:after="0" w:line="240" w:lineRule="auto"/>
        <w:contextualSpacing/>
        <w:rPr>
          <w:rFonts w:asciiTheme="minorHAnsi" w:eastAsia="Times New Roman" w:hAnsiTheme="minorHAnsi" w:cs="Arial"/>
          <w:b/>
          <w:sz w:val="20"/>
          <w:szCs w:val="20"/>
          <w:lang w:eastAsia="sl-SI"/>
        </w:rPr>
      </w:pPr>
      <w:r>
        <w:rPr>
          <w:rFonts w:asciiTheme="minorHAnsi" w:eastAsia="Times New Roman" w:hAnsiTheme="minorHAnsi" w:cs="Arial"/>
          <w:b/>
          <w:sz w:val="20"/>
          <w:szCs w:val="20"/>
          <w:lang w:eastAsia="sl-SI"/>
        </w:rPr>
        <w:t>Cilji in k</w:t>
      </w:r>
      <w:r w:rsidR="00E84A7F" w:rsidRPr="00E84A7F">
        <w:rPr>
          <w:rFonts w:asciiTheme="minorHAnsi" w:eastAsia="Times New Roman" w:hAnsiTheme="minorHAnsi" w:cs="Arial"/>
          <w:b/>
          <w:sz w:val="20"/>
          <w:szCs w:val="20"/>
          <w:lang w:eastAsia="sl-SI"/>
        </w:rPr>
        <w:t>azalniki</w:t>
      </w: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2A776D" w:rsidRPr="002A776D" w:rsidTr="00F92A2E">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A776D" w:rsidRPr="002A776D" w:rsidRDefault="002A776D" w:rsidP="00F92A2E">
            <w:pPr>
              <w:jc w:val="center"/>
              <w:rPr>
                <w:rFonts w:asciiTheme="minorHAnsi" w:hAnsiTheme="minorHAnsi" w:cs="Arial"/>
                <w:color w:val="000000"/>
                <w:sz w:val="20"/>
                <w:szCs w:val="20"/>
              </w:rPr>
            </w:pPr>
            <w:r w:rsidRPr="002A776D">
              <w:rPr>
                <w:rFonts w:asciiTheme="minorHAnsi" w:hAnsiTheme="minorHAnsi" w:cs="Arial"/>
                <w:color w:val="000000"/>
                <w:sz w:val="20"/>
                <w:szCs w:val="20"/>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rsidR="002A776D" w:rsidRPr="002A776D" w:rsidRDefault="002A776D" w:rsidP="00F92A2E">
            <w:pPr>
              <w:jc w:val="center"/>
              <w:rPr>
                <w:rFonts w:asciiTheme="minorHAnsi" w:hAnsiTheme="minorHAnsi" w:cs="Arial"/>
                <w:color w:val="000000"/>
                <w:sz w:val="20"/>
                <w:szCs w:val="20"/>
              </w:rPr>
            </w:pPr>
            <w:r w:rsidRPr="002A776D">
              <w:rPr>
                <w:rFonts w:asciiTheme="minorHAnsi" w:hAnsiTheme="minorHAnsi" w:cs="Arial"/>
                <w:color w:val="000000"/>
                <w:sz w:val="20"/>
                <w:szCs w:val="20"/>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Število</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b/>
                <w:sz w:val="20"/>
                <w:szCs w:val="20"/>
              </w:rPr>
            </w:pPr>
            <w:r w:rsidRPr="002A776D">
              <w:rPr>
                <w:rFonts w:asciiTheme="minorHAnsi" w:hAnsiTheme="minorHAnsi" w:cs="Arial"/>
                <w:b/>
                <w:sz w:val="20"/>
                <w:szCs w:val="20"/>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w:t>
            </w:r>
          </w:p>
        </w:tc>
      </w:tr>
      <w:tr w:rsidR="002A776D" w:rsidRPr="002A776D" w:rsidTr="00F92A2E">
        <w:trPr>
          <w:trHeight w:val="300"/>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sz w:val="20"/>
                <w:szCs w:val="20"/>
              </w:rPr>
            </w:pPr>
            <w:r w:rsidRPr="002A776D">
              <w:rPr>
                <w:rFonts w:asciiTheme="minorHAnsi" w:hAnsiTheme="minorHAnsi" w:cs="Arial"/>
                <w:b/>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20</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b/>
                <w:sz w:val="20"/>
                <w:szCs w:val="20"/>
              </w:rPr>
            </w:pPr>
            <w:r w:rsidRPr="002A776D">
              <w:rPr>
                <w:rFonts w:asciiTheme="minorHAnsi" w:hAnsiTheme="minorHAnsi" w:cs="Arial"/>
                <w:b/>
                <w:sz w:val="20"/>
                <w:szCs w:val="20"/>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sz w:val="20"/>
                <w:szCs w:val="20"/>
              </w:rPr>
            </w:pPr>
            <w:r w:rsidRPr="002A776D">
              <w:rPr>
                <w:rFonts w:asciiTheme="minorHAnsi" w:hAnsiTheme="minorHAnsi" w:cs="Arial"/>
                <w:b/>
                <w:sz w:val="20"/>
                <w:szCs w:val="20"/>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1</w:t>
            </w:r>
          </w:p>
        </w:tc>
      </w:tr>
      <w:tr w:rsidR="002A776D" w:rsidRPr="002A776D" w:rsidTr="00F92A2E">
        <w:trPr>
          <w:trHeight w:val="276"/>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sz w:val="20"/>
                <w:szCs w:val="20"/>
              </w:rPr>
            </w:pPr>
            <w:r w:rsidRPr="002A776D">
              <w:rPr>
                <w:rFonts w:asciiTheme="minorHAnsi" w:hAnsiTheme="minorHAnsi" w:cs="Arial"/>
                <w:b/>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20</w:t>
            </w:r>
          </w:p>
        </w:tc>
      </w:tr>
      <w:tr w:rsidR="002A776D" w:rsidRPr="002A776D" w:rsidTr="00F92A2E">
        <w:trPr>
          <w:trHeight w:val="276"/>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sz w:val="20"/>
                <w:szCs w:val="20"/>
              </w:rPr>
            </w:pPr>
            <w:r w:rsidRPr="002A776D">
              <w:rPr>
                <w:rFonts w:asciiTheme="minorHAnsi" w:hAnsiTheme="minorHAnsi" w:cs="Arial"/>
                <w:b/>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3</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b/>
                <w:sz w:val="20"/>
                <w:szCs w:val="20"/>
              </w:rPr>
            </w:pPr>
            <w:r w:rsidRPr="002A776D">
              <w:rPr>
                <w:rFonts w:asciiTheme="minorHAnsi" w:hAnsiTheme="minorHAnsi" w:cs="Arial"/>
                <w:b/>
                <w:sz w:val="20"/>
                <w:szCs w:val="20"/>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sz w:val="20"/>
                <w:szCs w:val="20"/>
              </w:rPr>
            </w:pPr>
            <w:r w:rsidRPr="002A776D">
              <w:rPr>
                <w:rFonts w:asciiTheme="minorHAnsi" w:hAnsiTheme="minorHAnsi" w:cs="Arial"/>
                <w:b/>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500</w:t>
            </w:r>
          </w:p>
        </w:tc>
      </w:tr>
      <w:tr w:rsidR="002A776D" w:rsidRPr="002A776D" w:rsidTr="00F92A2E">
        <w:trPr>
          <w:trHeight w:val="300"/>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w:t>
            </w:r>
          </w:p>
        </w:tc>
      </w:tr>
      <w:tr w:rsidR="002A776D" w:rsidRPr="002A776D" w:rsidTr="00F92A2E">
        <w:trPr>
          <w:trHeight w:val="300"/>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xml:space="preserve">Št. novih </w:t>
            </w:r>
            <w:proofErr w:type="spellStart"/>
            <w:r w:rsidRPr="002A776D">
              <w:rPr>
                <w:rFonts w:asciiTheme="minorHAnsi" w:hAnsiTheme="minorHAnsi" w:cs="Arial"/>
                <w:sz w:val="20"/>
                <w:szCs w:val="20"/>
              </w:rPr>
              <w:t>okoljskih</w:t>
            </w:r>
            <w:proofErr w:type="spellEnd"/>
            <w:r w:rsidRPr="002A776D">
              <w:rPr>
                <w:rFonts w:asciiTheme="minorHAnsi" w:hAnsiTheme="minorHAnsi" w:cs="Arial"/>
                <w:sz w:val="20"/>
                <w:szCs w:val="20"/>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sz w:val="20"/>
                <w:szCs w:val="20"/>
              </w:rPr>
            </w:pPr>
            <w:r w:rsidRPr="002A776D">
              <w:rPr>
                <w:rFonts w:asciiTheme="minorHAnsi" w:hAnsiTheme="minorHAnsi" w:cs="Arial"/>
                <w:sz w:val="20"/>
                <w:szCs w:val="20"/>
              </w:rPr>
              <w:t> </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color w:val="000000"/>
                <w:sz w:val="20"/>
                <w:szCs w:val="20"/>
              </w:rPr>
            </w:pPr>
            <w:r w:rsidRPr="002A776D">
              <w:rPr>
                <w:rFonts w:asciiTheme="minorHAnsi" w:hAnsiTheme="minorHAnsi" w:cs="Arial"/>
                <w:color w:val="000000"/>
                <w:sz w:val="20"/>
                <w:szCs w:val="20"/>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288"/>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300"/>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b/>
                <w:color w:val="000000"/>
                <w:sz w:val="20"/>
                <w:szCs w:val="20"/>
              </w:rPr>
            </w:pPr>
            <w:r w:rsidRPr="002A776D">
              <w:rPr>
                <w:rFonts w:asciiTheme="minorHAnsi" w:hAnsiTheme="minorHAnsi" w:cs="Arial"/>
                <w:b/>
                <w:color w:val="000000"/>
                <w:sz w:val="20"/>
                <w:szCs w:val="20"/>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276"/>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b/>
                <w:color w:val="000000"/>
                <w:sz w:val="20"/>
                <w:szCs w:val="20"/>
              </w:rPr>
            </w:pPr>
            <w:r w:rsidRPr="002A776D">
              <w:rPr>
                <w:rFonts w:asciiTheme="minorHAnsi" w:hAnsiTheme="minorHAnsi" w:cs="Arial"/>
                <w:b/>
                <w:color w:val="000000"/>
                <w:sz w:val="20"/>
                <w:szCs w:val="20"/>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50</w:t>
            </w:r>
          </w:p>
        </w:tc>
      </w:tr>
      <w:tr w:rsidR="002A776D" w:rsidRPr="002A776D" w:rsidTr="00F92A2E">
        <w:trPr>
          <w:trHeight w:val="276"/>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2A776D" w:rsidRPr="002A776D" w:rsidRDefault="002A776D" w:rsidP="00F92A2E">
            <w:pPr>
              <w:jc w:val="center"/>
              <w:rPr>
                <w:rFonts w:asciiTheme="minorHAnsi" w:hAnsiTheme="minorHAnsi" w:cs="Arial"/>
                <w:color w:val="000000"/>
                <w:sz w:val="20"/>
                <w:szCs w:val="20"/>
              </w:rPr>
            </w:pPr>
            <w:r w:rsidRPr="002A776D">
              <w:rPr>
                <w:rFonts w:asciiTheme="minorHAnsi" w:hAnsiTheme="minorHAnsi" w:cs="Arial"/>
                <w:color w:val="000000"/>
                <w:sz w:val="20"/>
                <w:szCs w:val="20"/>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r w:rsidR="002A776D" w:rsidRPr="002A776D" w:rsidTr="00F92A2E">
        <w:trPr>
          <w:trHeight w:val="276"/>
        </w:trPr>
        <w:tc>
          <w:tcPr>
            <w:tcW w:w="4080" w:type="dxa"/>
            <w:vMerge/>
            <w:tcBorders>
              <w:top w:val="nil"/>
              <w:left w:val="single" w:sz="4" w:space="0" w:color="auto"/>
              <w:bottom w:val="single" w:sz="4" w:space="0" w:color="auto"/>
              <w:right w:val="single" w:sz="4" w:space="0" w:color="auto"/>
            </w:tcBorders>
            <w:vAlign w:val="center"/>
            <w:hideMark/>
          </w:tcPr>
          <w:p w:rsidR="002A776D" w:rsidRPr="002A776D" w:rsidRDefault="002A776D" w:rsidP="00F92A2E">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rsidR="002A776D" w:rsidRPr="002A776D" w:rsidRDefault="002A776D" w:rsidP="00F92A2E">
            <w:pPr>
              <w:rPr>
                <w:rFonts w:asciiTheme="minorHAnsi" w:hAnsiTheme="minorHAnsi" w:cs="Arial"/>
                <w:color w:val="000000"/>
                <w:sz w:val="20"/>
                <w:szCs w:val="20"/>
              </w:rPr>
            </w:pPr>
            <w:r w:rsidRPr="002A776D">
              <w:rPr>
                <w:rFonts w:asciiTheme="minorHAnsi" w:hAnsiTheme="minorHAnsi" w:cs="Arial"/>
                <w:color w:val="000000"/>
                <w:sz w:val="20"/>
                <w:szCs w:val="20"/>
              </w:rPr>
              <w:t> </w:t>
            </w:r>
          </w:p>
        </w:tc>
      </w:tr>
    </w:tbl>
    <w:p w:rsidR="002A776D" w:rsidRPr="002A776D" w:rsidRDefault="002A776D" w:rsidP="002A776D">
      <w:pPr>
        <w:pStyle w:val="Odstavekseznama"/>
        <w:numPr>
          <w:ilvl w:val="0"/>
          <w:numId w:val="9"/>
        </w:numPr>
        <w:rPr>
          <w:rFonts w:asciiTheme="minorHAnsi" w:hAnsiTheme="minorHAnsi" w:cstheme="minorHAnsi"/>
          <w:sz w:val="18"/>
          <w:szCs w:val="18"/>
        </w:rPr>
      </w:pPr>
      <w:r w:rsidRPr="002A776D">
        <w:rPr>
          <w:rFonts w:asciiTheme="minorHAnsi" w:hAnsiTheme="minorHAnsi" w:cstheme="minorHAnsi"/>
          <w:sz w:val="18"/>
          <w:szCs w:val="18"/>
        </w:rPr>
        <w:t>Opomba:</w:t>
      </w:r>
    </w:p>
    <w:p w:rsidR="002A776D" w:rsidRPr="002A776D" w:rsidRDefault="002A776D" w:rsidP="002A776D">
      <w:pPr>
        <w:pStyle w:val="Odstavekseznama"/>
        <w:numPr>
          <w:ilvl w:val="0"/>
          <w:numId w:val="9"/>
        </w:numPr>
        <w:rPr>
          <w:rFonts w:asciiTheme="minorHAnsi" w:hAnsiTheme="minorHAnsi" w:cstheme="minorHAnsi"/>
          <w:sz w:val="16"/>
          <w:szCs w:val="16"/>
        </w:rPr>
      </w:pPr>
      <w:r w:rsidRPr="002A776D">
        <w:rPr>
          <w:rFonts w:asciiTheme="minorHAnsi" w:hAnsiTheme="minorHAnsi" w:cstheme="minorHAnsi"/>
          <w:sz w:val="16"/>
          <w:szCs w:val="16"/>
        </w:rPr>
        <w:t>Usposobljeni nosilci dejavnosti: vključeni v vsa izobraževanja: obrtna znanja, trženje, program animacij</w:t>
      </w:r>
    </w:p>
    <w:p w:rsidR="002A776D" w:rsidRPr="002A776D" w:rsidRDefault="002A776D" w:rsidP="002A776D">
      <w:pPr>
        <w:pStyle w:val="Odstavekseznama"/>
        <w:numPr>
          <w:ilvl w:val="0"/>
          <w:numId w:val="9"/>
        </w:numPr>
        <w:rPr>
          <w:rFonts w:asciiTheme="minorHAnsi" w:hAnsiTheme="minorHAnsi" w:cstheme="minorHAnsi"/>
          <w:sz w:val="16"/>
          <w:szCs w:val="16"/>
        </w:rPr>
      </w:pPr>
      <w:r w:rsidRPr="002A776D">
        <w:rPr>
          <w:rFonts w:asciiTheme="minorHAnsi" w:hAnsiTheme="minorHAnsi" w:cstheme="minorHAnsi"/>
          <w:sz w:val="16"/>
          <w:szCs w:val="16"/>
        </w:rPr>
        <w:t xml:space="preserve">Nov oz. izboljšan integriran turistični produkt, ki vključuje: ogled, doživljajske zgodbe in obrtna znanja prostorov kulturne dediščine, animacije za obiskovalca, kulinarične dobrote in pijače ter tudi nastanitve. </w:t>
      </w:r>
    </w:p>
    <w:p w:rsidR="002A776D" w:rsidRPr="002A776D" w:rsidRDefault="002A776D" w:rsidP="002A776D">
      <w:pPr>
        <w:pStyle w:val="Odstavekseznama"/>
        <w:numPr>
          <w:ilvl w:val="0"/>
          <w:numId w:val="9"/>
        </w:numPr>
        <w:rPr>
          <w:rFonts w:asciiTheme="minorHAnsi" w:hAnsiTheme="minorHAnsi" w:cstheme="minorHAnsi"/>
          <w:sz w:val="16"/>
          <w:szCs w:val="16"/>
        </w:rPr>
      </w:pPr>
      <w:r w:rsidRPr="002A776D">
        <w:rPr>
          <w:rFonts w:asciiTheme="minorHAnsi" w:hAnsiTheme="minorHAnsi" w:cstheme="minorHAnsi"/>
          <w:sz w:val="16"/>
          <w:szCs w:val="16"/>
        </w:rPr>
        <w:t>Usposobljeni nosilci dejavnosti z novimi kompetencami in znanjem na področju obrti, programov animacij in trženja.</w:t>
      </w:r>
    </w:p>
    <w:p w:rsidR="002A776D" w:rsidRPr="002A776D" w:rsidRDefault="002A776D" w:rsidP="002A776D">
      <w:pPr>
        <w:pStyle w:val="Odstavekseznama"/>
        <w:numPr>
          <w:ilvl w:val="0"/>
          <w:numId w:val="9"/>
        </w:numPr>
        <w:spacing w:after="200"/>
        <w:rPr>
          <w:rFonts w:asciiTheme="minorHAnsi" w:hAnsiTheme="minorHAnsi" w:cstheme="minorHAnsi"/>
          <w:sz w:val="16"/>
          <w:szCs w:val="16"/>
        </w:rPr>
      </w:pPr>
      <w:r w:rsidRPr="002A776D">
        <w:rPr>
          <w:rFonts w:asciiTheme="minorHAnsi" w:hAnsiTheme="minorHAnsi" w:cstheme="minorHAnsi"/>
          <w:sz w:val="16"/>
          <w:szCs w:val="16"/>
        </w:rPr>
        <w:t>Vzpostavljena partnerstva v Krškem -1,  v Sevnici - 1, v Bistrici ob Sotli -1.</w:t>
      </w:r>
    </w:p>
    <w:p w:rsidR="002A776D" w:rsidRPr="002A776D" w:rsidRDefault="002A776D" w:rsidP="002A776D">
      <w:pPr>
        <w:pStyle w:val="Odstavekseznama"/>
        <w:numPr>
          <w:ilvl w:val="0"/>
          <w:numId w:val="9"/>
        </w:numPr>
        <w:spacing w:after="200"/>
        <w:rPr>
          <w:rFonts w:asciiTheme="minorHAnsi" w:hAnsiTheme="minorHAnsi" w:cstheme="minorHAnsi"/>
          <w:sz w:val="16"/>
          <w:szCs w:val="16"/>
        </w:rPr>
      </w:pPr>
      <w:r w:rsidRPr="002A776D">
        <w:rPr>
          <w:rFonts w:asciiTheme="minorHAnsi" w:hAnsiTheme="minorHAnsi" w:cstheme="minorHAnsi"/>
          <w:sz w:val="16"/>
          <w:szCs w:val="16"/>
        </w:rPr>
        <w:t>Obiskovalci in vsi ostali vključeni v predstavitvene dogodke, ki vključujejo pomen uporabe naravnih materialov in ponovne uporabe (popravi si sam).</w:t>
      </w:r>
    </w:p>
    <w:p w:rsidR="00AD03E9" w:rsidRDefault="002A776D" w:rsidP="002A776D">
      <w:pPr>
        <w:pStyle w:val="Odstavekseznama"/>
        <w:numPr>
          <w:ilvl w:val="0"/>
          <w:numId w:val="9"/>
        </w:numPr>
        <w:spacing w:after="200"/>
        <w:rPr>
          <w:rFonts w:asciiTheme="minorHAnsi" w:hAnsiTheme="minorHAnsi" w:cstheme="minorHAnsi"/>
          <w:sz w:val="16"/>
          <w:szCs w:val="16"/>
        </w:rPr>
      </w:pPr>
      <w:r w:rsidRPr="002A776D">
        <w:rPr>
          <w:rFonts w:asciiTheme="minorHAnsi" w:hAnsiTheme="minorHAnsi" w:cstheme="minorHAnsi"/>
          <w:sz w:val="16"/>
          <w:szCs w:val="16"/>
        </w:rPr>
        <w:t>Vključenih v izobraževanja in posvete.</w:t>
      </w:r>
    </w:p>
    <w:p w:rsidR="002A776D" w:rsidRPr="002A776D" w:rsidRDefault="002A776D" w:rsidP="002A776D">
      <w:pPr>
        <w:pStyle w:val="Odstavekseznama"/>
        <w:spacing w:after="200"/>
        <w:rPr>
          <w:rFonts w:asciiTheme="minorHAnsi" w:hAnsiTheme="minorHAnsi" w:cstheme="minorHAnsi"/>
          <w:sz w:val="16"/>
          <w:szCs w:val="16"/>
        </w:rPr>
      </w:pPr>
    </w:p>
    <w:p w:rsidR="00324CA2" w:rsidRPr="002A776D" w:rsidRDefault="00E84A7F" w:rsidP="002A776D">
      <w:pPr>
        <w:pStyle w:val="Odstavekseznama"/>
        <w:numPr>
          <w:ilvl w:val="0"/>
          <w:numId w:val="14"/>
        </w:numPr>
        <w:spacing w:after="0" w:line="240" w:lineRule="auto"/>
        <w:jc w:val="both"/>
        <w:rPr>
          <w:rFonts w:asciiTheme="minorHAnsi" w:eastAsia="Times New Roman" w:hAnsiTheme="minorHAnsi" w:cs="Arial"/>
          <w:b/>
          <w:sz w:val="20"/>
          <w:szCs w:val="20"/>
          <w:lang w:eastAsia="sl-SI"/>
        </w:rPr>
      </w:pPr>
      <w:r w:rsidRPr="002A776D">
        <w:rPr>
          <w:rFonts w:asciiTheme="minorHAnsi" w:eastAsia="Times New Roman" w:hAnsiTheme="minorHAnsi" w:cs="Arial"/>
          <w:b/>
          <w:sz w:val="20"/>
          <w:szCs w:val="20"/>
          <w:lang w:eastAsia="sl-SI"/>
        </w:rPr>
        <w:t>Glavne aktivnosti operacije:</w:t>
      </w:r>
    </w:p>
    <w:p w:rsidR="002A776D" w:rsidRPr="002A776D" w:rsidRDefault="002A776D" w:rsidP="002A776D">
      <w:pPr>
        <w:shd w:val="clear" w:color="auto" w:fill="FFFFFF" w:themeFill="background1"/>
        <w:ind w:left="360"/>
        <w:rPr>
          <w:rFonts w:asciiTheme="minorHAnsi" w:hAnsiTheme="minorHAnsi" w:cs="Tahoma"/>
          <w:bCs/>
          <w:sz w:val="20"/>
          <w:szCs w:val="20"/>
        </w:rPr>
      </w:pPr>
      <w:r w:rsidRPr="002A776D">
        <w:rPr>
          <w:rFonts w:asciiTheme="minorHAnsi" w:hAnsiTheme="minorHAnsi" w:cs="Tahoma"/>
          <w:bCs/>
          <w:sz w:val="20"/>
          <w:szCs w:val="20"/>
        </w:rPr>
        <w:t xml:space="preserve">1 Ureditev prostorov kulturne dediščine (doživljajski lokal, obrtne storitve, popravi si sam) </w:t>
      </w:r>
    </w:p>
    <w:p w:rsidR="002A776D" w:rsidRPr="002A776D" w:rsidRDefault="002A776D" w:rsidP="002A776D">
      <w:pPr>
        <w:shd w:val="clear" w:color="auto" w:fill="FFFFFF" w:themeFill="background1"/>
        <w:ind w:left="360"/>
        <w:rPr>
          <w:rFonts w:asciiTheme="minorHAnsi" w:hAnsiTheme="minorHAnsi" w:cstheme="minorHAnsi"/>
          <w:bCs/>
          <w:sz w:val="20"/>
          <w:szCs w:val="20"/>
        </w:rPr>
      </w:pPr>
      <w:r w:rsidRPr="002A776D">
        <w:rPr>
          <w:rFonts w:asciiTheme="minorHAnsi" w:hAnsiTheme="minorHAnsi" w:cs="Tahoma"/>
          <w:bCs/>
          <w:sz w:val="20"/>
          <w:szCs w:val="20"/>
        </w:rPr>
        <w:t xml:space="preserve">2 Aplikativne raziskave za nadgradnjo turistične ponudbe povezane z dediščino (obrti preteklosti, oblačilni videz, kulinarika, zgodovinsko </w:t>
      </w:r>
      <w:r w:rsidRPr="002A776D">
        <w:rPr>
          <w:rFonts w:asciiTheme="minorHAnsi" w:hAnsiTheme="minorHAnsi" w:cstheme="minorHAnsi"/>
          <w:bCs/>
          <w:sz w:val="20"/>
          <w:szCs w:val="20"/>
        </w:rPr>
        <w:t>pohištvo, čolnarjenje)</w:t>
      </w:r>
    </w:p>
    <w:p w:rsidR="002A776D" w:rsidRPr="002A776D" w:rsidRDefault="002A776D" w:rsidP="002A776D">
      <w:pPr>
        <w:shd w:val="clear" w:color="auto" w:fill="FFFFFF" w:themeFill="background1"/>
        <w:ind w:left="360"/>
        <w:rPr>
          <w:rFonts w:asciiTheme="minorHAnsi" w:hAnsiTheme="minorHAnsi" w:cstheme="minorHAnsi"/>
          <w:bCs/>
          <w:sz w:val="20"/>
          <w:szCs w:val="20"/>
        </w:rPr>
      </w:pPr>
      <w:r w:rsidRPr="002A776D">
        <w:rPr>
          <w:rFonts w:asciiTheme="minorHAnsi" w:hAnsiTheme="minorHAnsi" w:cstheme="minorHAnsi"/>
          <w:bCs/>
          <w:sz w:val="20"/>
          <w:szCs w:val="20"/>
        </w:rPr>
        <w:t>3 Razvoj programov turistične ponudbe (animacije, kulinarika, spominki, razstave, tehnični dnevi)</w:t>
      </w:r>
    </w:p>
    <w:p w:rsidR="002A776D" w:rsidRPr="002A776D" w:rsidRDefault="002A776D" w:rsidP="002A776D">
      <w:pPr>
        <w:shd w:val="clear" w:color="auto" w:fill="FFFFFF" w:themeFill="background1"/>
        <w:ind w:left="360"/>
        <w:rPr>
          <w:rFonts w:asciiTheme="minorHAnsi" w:hAnsiTheme="minorHAnsi" w:cs="Tahoma"/>
          <w:bCs/>
          <w:sz w:val="20"/>
          <w:szCs w:val="20"/>
        </w:rPr>
      </w:pPr>
      <w:r w:rsidRPr="002A776D">
        <w:rPr>
          <w:rFonts w:asciiTheme="minorHAnsi" w:hAnsiTheme="minorHAnsi" w:cstheme="minorHAnsi"/>
          <w:bCs/>
          <w:sz w:val="20"/>
          <w:szCs w:val="20"/>
        </w:rPr>
        <w:t>4 Usposabljanja »popravi si sam«, zagon delovanja popravljalnice</w:t>
      </w:r>
      <w:r w:rsidRPr="002A776D">
        <w:rPr>
          <w:rFonts w:asciiTheme="minorHAnsi" w:hAnsiTheme="minorHAnsi" w:cs="Tahoma"/>
          <w:bCs/>
          <w:sz w:val="20"/>
          <w:szCs w:val="20"/>
        </w:rPr>
        <w:t xml:space="preserve">, tradicionalna plovila  </w:t>
      </w:r>
    </w:p>
    <w:p w:rsidR="002A776D" w:rsidRPr="002A776D" w:rsidRDefault="002A776D" w:rsidP="002A776D">
      <w:pPr>
        <w:shd w:val="clear" w:color="auto" w:fill="FFFFFF" w:themeFill="background1"/>
        <w:ind w:left="360"/>
        <w:rPr>
          <w:rFonts w:asciiTheme="minorHAnsi" w:hAnsiTheme="minorHAnsi" w:cs="Tahoma"/>
          <w:bCs/>
          <w:sz w:val="20"/>
          <w:szCs w:val="20"/>
        </w:rPr>
      </w:pPr>
      <w:r w:rsidRPr="002A776D">
        <w:rPr>
          <w:rFonts w:asciiTheme="minorHAnsi" w:hAnsiTheme="minorHAnsi" w:cs="Tahoma"/>
          <w:bCs/>
          <w:sz w:val="20"/>
          <w:szCs w:val="20"/>
        </w:rPr>
        <w:t xml:space="preserve">5 Izobraževanja s področja trženja nove ponudbe </w:t>
      </w:r>
    </w:p>
    <w:p w:rsidR="002A776D" w:rsidRPr="002A776D" w:rsidRDefault="002A776D" w:rsidP="002A776D">
      <w:pPr>
        <w:shd w:val="clear" w:color="auto" w:fill="FFFFFF" w:themeFill="background1"/>
        <w:ind w:left="360"/>
        <w:rPr>
          <w:rFonts w:asciiTheme="minorHAnsi" w:hAnsiTheme="minorHAnsi" w:cs="Tahoma"/>
          <w:bCs/>
          <w:sz w:val="20"/>
          <w:szCs w:val="20"/>
        </w:rPr>
      </w:pPr>
      <w:r w:rsidRPr="002A776D">
        <w:rPr>
          <w:rFonts w:asciiTheme="minorHAnsi" w:hAnsiTheme="minorHAnsi" w:cs="Tahoma"/>
          <w:bCs/>
          <w:sz w:val="20"/>
          <w:szCs w:val="20"/>
        </w:rPr>
        <w:t xml:space="preserve">6 Povezovanje ponudnikov v mestnih središčih s ciljem oblikovanja skupne ponudbe in promocije </w:t>
      </w:r>
    </w:p>
    <w:p w:rsidR="002A776D" w:rsidRPr="002A776D" w:rsidRDefault="002A776D" w:rsidP="002A776D">
      <w:pPr>
        <w:shd w:val="clear" w:color="auto" w:fill="FFFFFF" w:themeFill="background1"/>
        <w:ind w:left="360"/>
        <w:rPr>
          <w:rFonts w:asciiTheme="minorHAnsi" w:hAnsiTheme="minorHAnsi" w:cs="Tahoma"/>
          <w:bCs/>
          <w:sz w:val="20"/>
          <w:szCs w:val="20"/>
        </w:rPr>
      </w:pPr>
      <w:r w:rsidRPr="002A776D">
        <w:rPr>
          <w:rFonts w:asciiTheme="minorHAnsi" w:hAnsiTheme="minorHAnsi" w:cs="Tahoma"/>
          <w:b/>
          <w:bCs/>
          <w:sz w:val="20"/>
          <w:szCs w:val="20"/>
        </w:rPr>
        <w:t>Terminski načrt</w:t>
      </w:r>
      <w:r w:rsidRPr="002A776D">
        <w:rPr>
          <w:rFonts w:asciiTheme="minorHAnsi" w:hAnsiTheme="minorHAnsi" w:cs="Tahoma"/>
          <w:bCs/>
          <w:sz w:val="20"/>
          <w:szCs w:val="20"/>
        </w:rPr>
        <w:t>: 2 fazi v obdobju od 01.03.2019 do 31.12.2020.</w:t>
      </w:r>
    </w:p>
    <w:p w:rsidR="002A776D" w:rsidRPr="002A776D" w:rsidRDefault="002A776D" w:rsidP="002A776D">
      <w:pPr>
        <w:pStyle w:val="Odstavekseznama"/>
        <w:ind w:left="1080"/>
        <w:rPr>
          <w:rFonts w:asciiTheme="minorHAnsi" w:eastAsia="Times New Roman" w:hAnsiTheme="minorHAnsi" w:cs="Arial"/>
          <w:b/>
          <w:sz w:val="20"/>
          <w:szCs w:val="20"/>
          <w:lang w:eastAsia="sl-SI"/>
        </w:rPr>
      </w:pPr>
    </w:p>
    <w:p w:rsidR="002A776D" w:rsidRPr="002A776D" w:rsidRDefault="002A776D" w:rsidP="002A776D">
      <w:pPr>
        <w:spacing w:after="0" w:line="240" w:lineRule="auto"/>
        <w:ind w:left="360"/>
        <w:jc w:val="both"/>
        <w:rPr>
          <w:rFonts w:asciiTheme="minorHAnsi" w:eastAsia="Times New Roman" w:hAnsiTheme="minorHAnsi" w:cs="Arial"/>
          <w:b/>
          <w:sz w:val="20"/>
          <w:szCs w:val="20"/>
          <w:lang w:eastAsia="sl-SI"/>
        </w:rPr>
      </w:pPr>
    </w:p>
    <w:sectPr w:rsidR="002A776D" w:rsidRPr="002A77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31" w:rsidRDefault="00C1493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rsidR="00C14931" w:rsidRDefault="00C14931" w:rsidP="00C14931">
            <w:pPr>
              <w:pStyle w:val="Noga"/>
              <w:jc w:val="center"/>
            </w:pPr>
            <w:r w:rsidRPr="00140EDC">
              <w:rPr>
                <w:noProof/>
                <w:lang w:eastAsia="sl-SI"/>
              </w:rPr>
              <w:drawing>
                <wp:inline distT="0" distB="0" distL="0" distR="0" wp14:anchorId="0376DF41" wp14:editId="025F6FE6">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rsidR="0076338F" w:rsidRDefault="0076338F" w:rsidP="00C14931">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rsidR="0076338F" w:rsidRDefault="0076338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31" w:rsidRDefault="00C149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31" w:rsidRDefault="00C149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C14931">
      <w:rPr>
        <w:rFonts w:ascii="Times New Roman" w:eastAsia="Times New Roman" w:hAnsi="Times New Roman" w:cs="Times New Roman"/>
        <w:noProof/>
        <w:sz w:val="20"/>
        <w:szCs w:val="20"/>
        <w:lang w:eastAsia="sl-SI"/>
      </w:rPr>
      <w:drawing>
        <wp:inline distT="0" distB="0" distL="0" distR="0" wp14:anchorId="5E2D39C7" wp14:editId="080E766A">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31" w:rsidRDefault="00C149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C45BD2"/>
    <w:multiLevelType w:val="hybridMultilevel"/>
    <w:tmpl w:val="21B80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5D7ED3"/>
    <w:multiLevelType w:val="hybridMultilevel"/>
    <w:tmpl w:val="7018BAC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0"/>
  </w:num>
  <w:num w:numId="5">
    <w:abstractNumId w:val="11"/>
  </w:num>
  <w:num w:numId="6">
    <w:abstractNumId w:val="5"/>
  </w:num>
  <w:num w:numId="7">
    <w:abstractNumId w:val="13"/>
  </w:num>
  <w:num w:numId="8">
    <w:abstractNumId w:val="0"/>
  </w:num>
  <w:num w:numId="9">
    <w:abstractNumId w:val="9"/>
  </w:num>
  <w:num w:numId="10">
    <w:abstractNumId w:val="14"/>
  </w:num>
  <w:num w:numId="11">
    <w:abstractNumId w:val="8"/>
  </w:num>
  <w:num w:numId="12">
    <w:abstractNumId w:val="4"/>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3333B"/>
    <w:rsid w:val="000450EF"/>
    <w:rsid w:val="000454EA"/>
    <w:rsid w:val="000536C5"/>
    <w:rsid w:val="00055C78"/>
    <w:rsid w:val="00056B96"/>
    <w:rsid w:val="001052F1"/>
    <w:rsid w:val="00183DE2"/>
    <w:rsid w:val="0022499D"/>
    <w:rsid w:val="00227C53"/>
    <w:rsid w:val="00262CF3"/>
    <w:rsid w:val="002826D7"/>
    <w:rsid w:val="00290923"/>
    <w:rsid w:val="002A7529"/>
    <w:rsid w:val="002A776D"/>
    <w:rsid w:val="002A7F9E"/>
    <w:rsid w:val="00324CA2"/>
    <w:rsid w:val="00384783"/>
    <w:rsid w:val="00394D0F"/>
    <w:rsid w:val="004028D7"/>
    <w:rsid w:val="004160B4"/>
    <w:rsid w:val="004264DB"/>
    <w:rsid w:val="004536A0"/>
    <w:rsid w:val="0047573E"/>
    <w:rsid w:val="00486BCF"/>
    <w:rsid w:val="004D237D"/>
    <w:rsid w:val="004F3B25"/>
    <w:rsid w:val="00515102"/>
    <w:rsid w:val="00526E31"/>
    <w:rsid w:val="00551FEB"/>
    <w:rsid w:val="005C6DF2"/>
    <w:rsid w:val="005F0240"/>
    <w:rsid w:val="00611218"/>
    <w:rsid w:val="0065162E"/>
    <w:rsid w:val="006A7845"/>
    <w:rsid w:val="006F738E"/>
    <w:rsid w:val="00750545"/>
    <w:rsid w:val="0076338F"/>
    <w:rsid w:val="007973B4"/>
    <w:rsid w:val="007E3506"/>
    <w:rsid w:val="00876C63"/>
    <w:rsid w:val="008B3EEA"/>
    <w:rsid w:val="008B56E3"/>
    <w:rsid w:val="00900649"/>
    <w:rsid w:val="009221BB"/>
    <w:rsid w:val="00935B0E"/>
    <w:rsid w:val="00A133B9"/>
    <w:rsid w:val="00A53847"/>
    <w:rsid w:val="00AC124C"/>
    <w:rsid w:val="00AD03E9"/>
    <w:rsid w:val="00B60371"/>
    <w:rsid w:val="00B84EA3"/>
    <w:rsid w:val="00BB0017"/>
    <w:rsid w:val="00BD1196"/>
    <w:rsid w:val="00BE2CE3"/>
    <w:rsid w:val="00BE3BFB"/>
    <w:rsid w:val="00C14931"/>
    <w:rsid w:val="00C75483"/>
    <w:rsid w:val="00CB1CCF"/>
    <w:rsid w:val="00CC2287"/>
    <w:rsid w:val="00D009B2"/>
    <w:rsid w:val="00D35D3C"/>
    <w:rsid w:val="00DB5C43"/>
    <w:rsid w:val="00DD20E1"/>
    <w:rsid w:val="00E84A7F"/>
    <w:rsid w:val="00EB44F9"/>
    <w:rsid w:val="00EE015E"/>
    <w:rsid w:val="00F10A62"/>
    <w:rsid w:val="00F74263"/>
    <w:rsid w:val="00FC0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D240E7"/>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2</cp:revision>
  <cp:lastPrinted>2017-04-26T05:18:00Z</cp:lastPrinted>
  <dcterms:created xsi:type="dcterms:W3CDTF">2019-06-03T09:33:00Z</dcterms:created>
  <dcterms:modified xsi:type="dcterms:W3CDTF">2019-06-03T09:33:00Z</dcterms:modified>
</cp:coreProperties>
</file>