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483" w:rsidRPr="00050278" w:rsidRDefault="00E41483" w:rsidP="009C1443">
      <w:pPr>
        <w:widowControl w:val="0"/>
        <w:autoSpaceDE w:val="0"/>
        <w:autoSpaceDN w:val="0"/>
        <w:adjustRightInd w:val="0"/>
        <w:spacing w:after="0"/>
        <w:rPr>
          <w:rFonts w:asciiTheme="minorHAnsi" w:hAnsiTheme="minorHAnsi" w:cstheme="minorHAnsi"/>
          <w:b/>
          <w:sz w:val="22"/>
          <w:szCs w:val="22"/>
        </w:rPr>
      </w:pPr>
    </w:p>
    <w:p w:rsidR="009C1443" w:rsidRPr="00050278" w:rsidRDefault="009C1443" w:rsidP="009C1443">
      <w:pPr>
        <w:widowControl w:val="0"/>
        <w:autoSpaceDE w:val="0"/>
        <w:autoSpaceDN w:val="0"/>
        <w:adjustRightInd w:val="0"/>
        <w:spacing w:after="0"/>
        <w:rPr>
          <w:rFonts w:asciiTheme="minorHAnsi" w:hAnsiTheme="minorHAnsi" w:cstheme="minorHAnsi"/>
          <w:b/>
          <w:sz w:val="22"/>
          <w:szCs w:val="22"/>
        </w:rPr>
      </w:pPr>
    </w:p>
    <w:p w:rsidR="00E41483" w:rsidRPr="00050278" w:rsidRDefault="00E41483" w:rsidP="00E41483">
      <w:pPr>
        <w:autoSpaceDE w:val="0"/>
        <w:autoSpaceDN w:val="0"/>
        <w:adjustRightInd w:val="0"/>
        <w:spacing w:after="0" w:line="240" w:lineRule="auto"/>
        <w:jc w:val="center"/>
        <w:rPr>
          <w:rFonts w:asciiTheme="minorHAnsi" w:eastAsia="Times New Roman" w:hAnsiTheme="minorHAnsi" w:cs="Arial"/>
          <w:b/>
          <w:bCs/>
          <w:color w:val="000000"/>
          <w:sz w:val="22"/>
          <w:szCs w:val="22"/>
          <w:lang w:eastAsia="sl-SI"/>
        </w:rPr>
      </w:pPr>
      <w:r w:rsidRPr="00050278">
        <w:rPr>
          <w:rFonts w:asciiTheme="minorHAnsi" w:eastAsia="Times New Roman" w:hAnsiTheme="minorHAnsi" w:cs="Arial"/>
          <w:b/>
          <w:bCs/>
          <w:color w:val="000000"/>
          <w:sz w:val="22"/>
          <w:szCs w:val="22"/>
          <w:lang w:eastAsia="sl-SI"/>
        </w:rPr>
        <w:t>POVZETEK OPERACIJE</w:t>
      </w:r>
    </w:p>
    <w:p w:rsidR="00E41483" w:rsidRPr="00050278" w:rsidRDefault="00E41483" w:rsidP="00E41483">
      <w:pPr>
        <w:autoSpaceDE w:val="0"/>
        <w:autoSpaceDN w:val="0"/>
        <w:adjustRightInd w:val="0"/>
        <w:spacing w:after="0" w:line="240" w:lineRule="auto"/>
        <w:jc w:val="center"/>
        <w:rPr>
          <w:rFonts w:asciiTheme="minorHAnsi" w:eastAsia="Times New Roman" w:hAnsiTheme="minorHAnsi" w:cs="Arial"/>
          <w:b/>
          <w:bCs/>
          <w:color w:val="000000"/>
          <w:sz w:val="22"/>
          <w:szCs w:val="22"/>
          <w:lang w:eastAsia="sl-SI"/>
        </w:rPr>
      </w:pPr>
      <w:r w:rsidRPr="00050278">
        <w:rPr>
          <w:rFonts w:asciiTheme="minorHAnsi" w:eastAsia="Times New Roman" w:hAnsiTheme="minorHAnsi" w:cs="Arial"/>
          <w:b/>
          <w:bCs/>
          <w:color w:val="000000"/>
          <w:sz w:val="22"/>
          <w:szCs w:val="22"/>
          <w:lang w:eastAsia="sl-SI"/>
        </w:rPr>
        <w:t xml:space="preserve">potrjene na 2. Javnem pozivu za izbor operacij za uresničevanje ciljev SLR na območju </w:t>
      </w:r>
    </w:p>
    <w:p w:rsidR="00E41483" w:rsidRPr="00050278" w:rsidRDefault="00E41483" w:rsidP="00E41483">
      <w:pPr>
        <w:autoSpaceDE w:val="0"/>
        <w:autoSpaceDN w:val="0"/>
        <w:adjustRightInd w:val="0"/>
        <w:spacing w:after="0" w:line="240" w:lineRule="auto"/>
        <w:jc w:val="center"/>
        <w:rPr>
          <w:rFonts w:asciiTheme="minorHAnsi" w:eastAsia="Times New Roman" w:hAnsiTheme="minorHAnsi" w:cs="Arial"/>
          <w:b/>
          <w:bCs/>
          <w:color w:val="000000"/>
          <w:sz w:val="22"/>
          <w:szCs w:val="22"/>
          <w:lang w:eastAsia="sl-SI"/>
        </w:rPr>
      </w:pPr>
      <w:r w:rsidRPr="00050278">
        <w:rPr>
          <w:rFonts w:asciiTheme="minorHAnsi" w:eastAsia="Times New Roman" w:hAnsiTheme="minorHAnsi" w:cs="Arial"/>
          <w:b/>
          <w:bCs/>
          <w:color w:val="000000"/>
          <w:sz w:val="22"/>
          <w:szCs w:val="22"/>
          <w:lang w:eastAsia="sl-SI"/>
        </w:rPr>
        <w:t xml:space="preserve">LAS Posavje v letu 2018 EKSRP in z Odločbo Agencije RS za kmetijske trge in razvoj podeželja, </w:t>
      </w:r>
      <w:r w:rsidR="009C1443" w:rsidRPr="00050278">
        <w:rPr>
          <w:rFonts w:asciiTheme="minorHAnsi" w:eastAsia="Times New Roman" w:hAnsiTheme="minorHAnsi" w:cs="Arial"/>
          <w:b/>
          <w:bCs/>
          <w:color w:val="000000"/>
          <w:sz w:val="22"/>
          <w:szCs w:val="22"/>
          <w:lang w:eastAsia="sl-SI"/>
        </w:rPr>
        <w:t xml:space="preserve">št. 33152-64/2018/5, </w:t>
      </w:r>
      <w:r w:rsidRPr="00050278">
        <w:rPr>
          <w:rFonts w:asciiTheme="minorHAnsi" w:eastAsia="Times New Roman" w:hAnsiTheme="minorHAnsi" w:cs="Arial"/>
          <w:b/>
          <w:bCs/>
          <w:color w:val="000000"/>
          <w:sz w:val="22"/>
          <w:szCs w:val="22"/>
          <w:lang w:eastAsia="sl-SI"/>
        </w:rPr>
        <w:t>z dne: 06. 06. 2019</w:t>
      </w:r>
    </w:p>
    <w:p w:rsidR="003F4361" w:rsidRPr="00050278" w:rsidRDefault="003F4361" w:rsidP="00515102">
      <w:pPr>
        <w:widowControl w:val="0"/>
        <w:autoSpaceDE w:val="0"/>
        <w:autoSpaceDN w:val="0"/>
        <w:adjustRightInd w:val="0"/>
        <w:spacing w:after="0"/>
        <w:jc w:val="center"/>
        <w:rPr>
          <w:rFonts w:asciiTheme="minorHAnsi" w:hAnsiTheme="minorHAnsi" w:cstheme="minorHAnsi"/>
          <w:b/>
          <w:sz w:val="22"/>
          <w:szCs w:val="22"/>
        </w:rPr>
      </w:pPr>
    </w:p>
    <w:p w:rsidR="00E41483" w:rsidRPr="00050278" w:rsidRDefault="00E41483" w:rsidP="00515102">
      <w:pPr>
        <w:widowControl w:val="0"/>
        <w:autoSpaceDE w:val="0"/>
        <w:autoSpaceDN w:val="0"/>
        <w:adjustRightInd w:val="0"/>
        <w:spacing w:after="0"/>
        <w:jc w:val="center"/>
        <w:rPr>
          <w:rFonts w:asciiTheme="minorHAnsi" w:hAnsiTheme="minorHAnsi" w:cstheme="minorHAnsi"/>
          <w:b/>
          <w:sz w:val="22"/>
          <w:szCs w:val="22"/>
        </w:rPr>
      </w:pPr>
    </w:p>
    <w:p w:rsidR="00D614C2" w:rsidRPr="00050278" w:rsidRDefault="00D614C2" w:rsidP="003F4361">
      <w:pPr>
        <w:pStyle w:val="Odstavekseznama"/>
        <w:numPr>
          <w:ilvl w:val="0"/>
          <w:numId w:val="12"/>
        </w:numPr>
        <w:spacing w:after="0" w:line="240" w:lineRule="auto"/>
        <w:jc w:val="both"/>
        <w:rPr>
          <w:rFonts w:asciiTheme="minorHAnsi" w:eastAsia="Times New Roman" w:hAnsiTheme="minorHAnsi" w:cstheme="minorHAnsi"/>
          <w:b/>
          <w:color w:val="000000"/>
          <w:sz w:val="22"/>
          <w:szCs w:val="22"/>
          <w:lang w:eastAsia="sl-SI"/>
        </w:rPr>
      </w:pPr>
      <w:r w:rsidRPr="00050278">
        <w:rPr>
          <w:rFonts w:asciiTheme="minorHAnsi" w:eastAsia="Times New Roman" w:hAnsiTheme="minorHAnsi" w:cstheme="minorHAnsi"/>
          <w:b/>
          <w:color w:val="000000"/>
          <w:sz w:val="22"/>
          <w:szCs w:val="22"/>
          <w:lang w:eastAsia="sl-SI"/>
        </w:rPr>
        <w:t>I</w:t>
      </w:r>
      <w:r w:rsidR="003F4361" w:rsidRPr="00050278">
        <w:rPr>
          <w:rFonts w:asciiTheme="minorHAnsi" w:eastAsia="Times New Roman" w:hAnsiTheme="minorHAnsi" w:cstheme="minorHAnsi"/>
          <w:b/>
          <w:color w:val="000000"/>
          <w:sz w:val="22"/>
          <w:szCs w:val="22"/>
          <w:lang w:eastAsia="sl-SI"/>
        </w:rPr>
        <w:t>dentifikacija operacije</w:t>
      </w:r>
    </w:p>
    <w:p w:rsidR="005D286D" w:rsidRPr="00050278" w:rsidRDefault="005D286D" w:rsidP="005D286D">
      <w:pPr>
        <w:pStyle w:val="Odstavekseznama"/>
        <w:spacing w:after="0" w:line="240" w:lineRule="auto"/>
        <w:jc w:val="both"/>
        <w:rPr>
          <w:rFonts w:asciiTheme="minorHAnsi" w:eastAsia="Times New Roman" w:hAnsiTheme="minorHAnsi" w:cstheme="minorHAnsi"/>
          <w:b/>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677"/>
        <w:gridCol w:w="1696"/>
      </w:tblGrid>
      <w:tr w:rsidR="00D614C2" w:rsidRPr="00050278" w:rsidTr="00BE0B5A">
        <w:tc>
          <w:tcPr>
            <w:tcW w:w="2689" w:type="dxa"/>
            <w:shd w:val="clear" w:color="auto" w:fill="D0CECE" w:themeFill="background2" w:themeFillShade="E6"/>
          </w:tcPr>
          <w:p w:rsidR="00D614C2" w:rsidRPr="00050278" w:rsidRDefault="00D614C2" w:rsidP="00E07440">
            <w:pPr>
              <w:spacing w:after="0" w:line="240" w:lineRule="auto"/>
              <w:jc w:val="both"/>
              <w:rPr>
                <w:rFonts w:asciiTheme="minorHAnsi" w:eastAsia="Times New Roman" w:hAnsiTheme="minorHAnsi" w:cstheme="minorHAnsi"/>
                <w:sz w:val="22"/>
                <w:szCs w:val="22"/>
                <w:lang w:eastAsia="sl-SI"/>
              </w:rPr>
            </w:pPr>
            <w:r w:rsidRPr="00050278">
              <w:rPr>
                <w:rFonts w:asciiTheme="minorHAnsi" w:eastAsia="Times New Roman" w:hAnsiTheme="minorHAnsi" w:cstheme="minorHAnsi"/>
                <w:sz w:val="22"/>
                <w:szCs w:val="22"/>
                <w:lang w:eastAsia="sl-SI"/>
              </w:rPr>
              <w:t>Tematsko področje</w:t>
            </w:r>
          </w:p>
          <w:p w:rsidR="00D614C2" w:rsidRPr="00050278" w:rsidRDefault="00D614C2" w:rsidP="00E07440">
            <w:pPr>
              <w:spacing w:after="0" w:line="240" w:lineRule="auto"/>
              <w:jc w:val="both"/>
              <w:rPr>
                <w:rFonts w:asciiTheme="minorHAnsi" w:eastAsia="Times New Roman" w:hAnsiTheme="minorHAnsi" w:cstheme="minorHAnsi"/>
                <w:sz w:val="22"/>
                <w:szCs w:val="22"/>
                <w:lang w:eastAsia="sl-SI"/>
              </w:rPr>
            </w:pPr>
          </w:p>
        </w:tc>
        <w:tc>
          <w:tcPr>
            <w:tcW w:w="6373" w:type="dxa"/>
            <w:gridSpan w:val="2"/>
          </w:tcPr>
          <w:p w:rsidR="00D614C2" w:rsidRPr="00050278" w:rsidRDefault="00690789" w:rsidP="006F7C58">
            <w:pPr>
              <w:spacing w:after="0" w:line="240" w:lineRule="auto"/>
              <w:jc w:val="both"/>
              <w:rPr>
                <w:rFonts w:asciiTheme="minorHAnsi" w:eastAsia="Times New Roman" w:hAnsiTheme="minorHAnsi" w:cstheme="minorHAnsi"/>
                <w:b/>
                <w:sz w:val="22"/>
                <w:szCs w:val="22"/>
                <w:lang w:eastAsia="sl-SI"/>
              </w:rPr>
            </w:pPr>
            <w:r w:rsidRPr="00050278">
              <w:rPr>
                <w:rFonts w:asciiTheme="minorHAnsi" w:hAnsiTheme="minorHAnsi" w:cstheme="minorHAnsi"/>
                <w:b/>
                <w:bCs/>
                <w:sz w:val="22"/>
                <w:szCs w:val="22"/>
              </w:rPr>
              <w:t>VEČJA VKLJUČENOST MLADIH, ŽENSK IN DRUGIH RANLJIVIH SKUPIN</w:t>
            </w:r>
          </w:p>
        </w:tc>
      </w:tr>
      <w:tr w:rsidR="006F7C58" w:rsidRPr="00050278" w:rsidTr="00FC6536">
        <w:tc>
          <w:tcPr>
            <w:tcW w:w="2689" w:type="dxa"/>
            <w:shd w:val="clear" w:color="auto" w:fill="D0CECE" w:themeFill="background2" w:themeFillShade="E6"/>
          </w:tcPr>
          <w:p w:rsidR="006F7C58" w:rsidRPr="00050278" w:rsidRDefault="006F7C58" w:rsidP="006F7C58">
            <w:pPr>
              <w:spacing w:after="0" w:line="240" w:lineRule="auto"/>
              <w:jc w:val="both"/>
              <w:rPr>
                <w:rFonts w:asciiTheme="minorHAnsi" w:eastAsia="Times New Roman" w:hAnsiTheme="minorHAnsi" w:cstheme="minorHAnsi"/>
                <w:sz w:val="22"/>
                <w:szCs w:val="22"/>
                <w:lang w:eastAsia="sl-SI"/>
              </w:rPr>
            </w:pPr>
            <w:r w:rsidRPr="00050278">
              <w:rPr>
                <w:rFonts w:asciiTheme="minorHAnsi" w:eastAsia="Times New Roman" w:hAnsiTheme="minorHAnsi" w:cstheme="minorHAnsi"/>
                <w:sz w:val="22"/>
                <w:szCs w:val="22"/>
                <w:lang w:eastAsia="sl-SI"/>
              </w:rPr>
              <w:t>Ukrep</w:t>
            </w:r>
          </w:p>
        </w:tc>
        <w:tc>
          <w:tcPr>
            <w:tcW w:w="6373" w:type="dxa"/>
            <w:gridSpan w:val="2"/>
            <w:vAlign w:val="center"/>
          </w:tcPr>
          <w:p w:rsidR="006F7C58" w:rsidRPr="00050278" w:rsidRDefault="00690789" w:rsidP="006F7C58">
            <w:pPr>
              <w:rPr>
                <w:rFonts w:asciiTheme="minorHAnsi" w:hAnsiTheme="minorHAnsi" w:cstheme="minorHAnsi"/>
                <w:b/>
                <w:bCs/>
                <w:sz w:val="22"/>
                <w:szCs w:val="22"/>
              </w:rPr>
            </w:pPr>
            <w:r w:rsidRPr="00050278">
              <w:rPr>
                <w:rFonts w:asciiTheme="minorHAnsi" w:hAnsiTheme="minorHAnsi" w:cstheme="minorHAnsi"/>
                <w:b/>
                <w:bCs/>
                <w:sz w:val="22"/>
                <w:szCs w:val="22"/>
              </w:rPr>
              <w:t>U7: VKLJUČUJOČA SKUPNOST</w:t>
            </w:r>
          </w:p>
        </w:tc>
      </w:tr>
      <w:tr w:rsidR="006F7C58" w:rsidRPr="00050278" w:rsidTr="00BE0B5A">
        <w:tc>
          <w:tcPr>
            <w:tcW w:w="2689" w:type="dxa"/>
            <w:shd w:val="clear" w:color="auto" w:fill="D0CECE" w:themeFill="background2" w:themeFillShade="E6"/>
          </w:tcPr>
          <w:p w:rsidR="006F7C58" w:rsidRPr="00050278" w:rsidRDefault="006F7C58" w:rsidP="006F7C58">
            <w:pPr>
              <w:spacing w:after="0" w:line="240" w:lineRule="auto"/>
              <w:jc w:val="both"/>
              <w:rPr>
                <w:rFonts w:asciiTheme="minorHAnsi" w:eastAsia="Times New Roman" w:hAnsiTheme="minorHAnsi" w:cstheme="minorHAnsi"/>
                <w:sz w:val="22"/>
                <w:szCs w:val="22"/>
                <w:lang w:eastAsia="sl-SI"/>
              </w:rPr>
            </w:pPr>
            <w:r w:rsidRPr="00050278">
              <w:rPr>
                <w:rFonts w:asciiTheme="minorHAnsi" w:eastAsia="Times New Roman" w:hAnsiTheme="minorHAnsi" w:cstheme="minorHAnsi"/>
                <w:sz w:val="22"/>
                <w:szCs w:val="22"/>
                <w:lang w:eastAsia="sl-SI"/>
              </w:rPr>
              <w:t>Naziv sklada</w:t>
            </w:r>
          </w:p>
          <w:p w:rsidR="006F7C58" w:rsidRPr="00050278" w:rsidRDefault="006F7C58" w:rsidP="006F7C58">
            <w:pPr>
              <w:spacing w:after="0" w:line="240" w:lineRule="auto"/>
              <w:jc w:val="both"/>
              <w:rPr>
                <w:rFonts w:asciiTheme="minorHAnsi" w:eastAsia="Times New Roman" w:hAnsiTheme="minorHAnsi" w:cstheme="minorHAnsi"/>
                <w:sz w:val="22"/>
                <w:szCs w:val="22"/>
                <w:lang w:eastAsia="sl-SI"/>
              </w:rPr>
            </w:pPr>
          </w:p>
        </w:tc>
        <w:tc>
          <w:tcPr>
            <w:tcW w:w="6373" w:type="dxa"/>
            <w:gridSpan w:val="2"/>
          </w:tcPr>
          <w:p w:rsidR="006F7C58" w:rsidRPr="00050278" w:rsidRDefault="00EB7E35" w:rsidP="006F7C58">
            <w:pPr>
              <w:spacing w:after="0" w:line="240" w:lineRule="auto"/>
              <w:jc w:val="both"/>
              <w:rPr>
                <w:rFonts w:asciiTheme="minorHAnsi" w:eastAsia="Times New Roman" w:hAnsiTheme="minorHAnsi" w:cstheme="minorHAnsi"/>
                <w:b/>
                <w:sz w:val="22"/>
                <w:szCs w:val="22"/>
                <w:lang w:eastAsia="sl-SI"/>
              </w:rPr>
            </w:pPr>
            <w:r w:rsidRPr="00050278">
              <w:rPr>
                <w:rFonts w:asciiTheme="minorHAnsi" w:eastAsia="Times New Roman" w:hAnsiTheme="minorHAnsi" w:cstheme="minorHAnsi"/>
                <w:b/>
                <w:sz w:val="22"/>
                <w:szCs w:val="22"/>
                <w:lang w:eastAsia="sl-SI"/>
              </w:rPr>
              <w:t>EKSRP</w:t>
            </w:r>
          </w:p>
        </w:tc>
      </w:tr>
      <w:tr w:rsidR="00690789" w:rsidRPr="00050278" w:rsidTr="00BE0B5A">
        <w:tc>
          <w:tcPr>
            <w:tcW w:w="2689" w:type="dxa"/>
            <w:shd w:val="clear" w:color="auto" w:fill="D0CECE" w:themeFill="background2" w:themeFillShade="E6"/>
          </w:tcPr>
          <w:p w:rsidR="00690789" w:rsidRPr="00050278" w:rsidRDefault="00690789" w:rsidP="00690789">
            <w:pPr>
              <w:spacing w:after="0" w:line="240" w:lineRule="auto"/>
              <w:jc w:val="both"/>
              <w:rPr>
                <w:rFonts w:asciiTheme="minorHAnsi" w:eastAsia="Times New Roman" w:hAnsiTheme="minorHAnsi" w:cstheme="minorHAnsi"/>
                <w:sz w:val="22"/>
                <w:szCs w:val="22"/>
                <w:lang w:eastAsia="sl-SI"/>
              </w:rPr>
            </w:pPr>
            <w:r w:rsidRPr="00050278">
              <w:rPr>
                <w:rFonts w:asciiTheme="minorHAnsi" w:eastAsia="Times New Roman" w:hAnsiTheme="minorHAnsi" w:cstheme="minorHAnsi"/>
                <w:sz w:val="22"/>
                <w:szCs w:val="22"/>
                <w:lang w:eastAsia="sl-SI"/>
              </w:rPr>
              <w:t>Akronim operacije</w:t>
            </w:r>
          </w:p>
        </w:tc>
        <w:tc>
          <w:tcPr>
            <w:tcW w:w="6373" w:type="dxa"/>
            <w:gridSpan w:val="2"/>
          </w:tcPr>
          <w:p w:rsidR="00690789" w:rsidRPr="00050278" w:rsidRDefault="00690789" w:rsidP="00690789">
            <w:pPr>
              <w:jc w:val="both"/>
              <w:rPr>
                <w:rFonts w:asciiTheme="minorHAnsi" w:hAnsiTheme="minorHAnsi" w:cstheme="minorHAnsi"/>
                <w:b/>
                <w:bCs/>
                <w:sz w:val="22"/>
                <w:szCs w:val="22"/>
              </w:rPr>
            </w:pPr>
            <w:r w:rsidRPr="00050278">
              <w:rPr>
                <w:rFonts w:asciiTheme="minorHAnsi" w:hAnsiTheme="minorHAnsi" w:cstheme="minorHAnsi"/>
                <w:b/>
                <w:bCs/>
                <w:sz w:val="22"/>
                <w:szCs w:val="22"/>
              </w:rPr>
              <w:t>CZS DOBRA ENERGIJA</w:t>
            </w:r>
          </w:p>
        </w:tc>
      </w:tr>
      <w:tr w:rsidR="00690789" w:rsidRPr="00050278" w:rsidTr="00BE0B5A">
        <w:tc>
          <w:tcPr>
            <w:tcW w:w="2689" w:type="dxa"/>
            <w:shd w:val="clear" w:color="auto" w:fill="D0CECE" w:themeFill="background2" w:themeFillShade="E6"/>
          </w:tcPr>
          <w:p w:rsidR="00690789" w:rsidRPr="00050278" w:rsidRDefault="00690789" w:rsidP="00690789">
            <w:pPr>
              <w:spacing w:after="0" w:line="240" w:lineRule="auto"/>
              <w:jc w:val="both"/>
              <w:rPr>
                <w:rFonts w:asciiTheme="minorHAnsi" w:eastAsia="Times New Roman" w:hAnsiTheme="minorHAnsi" w:cstheme="minorHAnsi"/>
                <w:sz w:val="22"/>
                <w:szCs w:val="22"/>
                <w:lang w:eastAsia="sl-SI"/>
              </w:rPr>
            </w:pPr>
            <w:r w:rsidRPr="00050278">
              <w:rPr>
                <w:rFonts w:asciiTheme="minorHAnsi" w:eastAsia="Times New Roman" w:hAnsiTheme="minorHAnsi" w:cstheme="minorHAnsi"/>
                <w:sz w:val="22"/>
                <w:szCs w:val="22"/>
                <w:lang w:eastAsia="sl-SI"/>
              </w:rPr>
              <w:t>Naziv operacije</w:t>
            </w:r>
          </w:p>
          <w:p w:rsidR="00690789" w:rsidRPr="00050278" w:rsidRDefault="00690789" w:rsidP="00690789">
            <w:pPr>
              <w:spacing w:after="0" w:line="240" w:lineRule="auto"/>
              <w:jc w:val="both"/>
              <w:rPr>
                <w:rFonts w:asciiTheme="minorHAnsi" w:eastAsia="Times New Roman" w:hAnsiTheme="minorHAnsi" w:cstheme="minorHAnsi"/>
                <w:sz w:val="22"/>
                <w:szCs w:val="22"/>
                <w:lang w:eastAsia="sl-SI"/>
              </w:rPr>
            </w:pPr>
          </w:p>
        </w:tc>
        <w:tc>
          <w:tcPr>
            <w:tcW w:w="6373" w:type="dxa"/>
            <w:gridSpan w:val="2"/>
          </w:tcPr>
          <w:p w:rsidR="00690789" w:rsidRPr="00050278" w:rsidRDefault="00690789" w:rsidP="00690789">
            <w:pPr>
              <w:jc w:val="both"/>
              <w:rPr>
                <w:rFonts w:asciiTheme="minorHAnsi" w:hAnsiTheme="minorHAnsi" w:cstheme="minorHAnsi"/>
                <w:b/>
                <w:bCs/>
                <w:sz w:val="22"/>
                <w:szCs w:val="22"/>
              </w:rPr>
            </w:pPr>
            <w:r w:rsidRPr="00050278">
              <w:rPr>
                <w:rFonts w:asciiTheme="minorHAnsi" w:hAnsiTheme="minorHAnsi" w:cstheme="minorHAnsi"/>
                <w:b/>
                <w:bCs/>
                <w:sz w:val="22"/>
                <w:szCs w:val="22"/>
              </w:rPr>
              <w:t>CENTER ZA STAREJŠE DOBRA ENERGIJA</w:t>
            </w:r>
          </w:p>
        </w:tc>
      </w:tr>
      <w:tr w:rsidR="00E41483" w:rsidRPr="00050278" w:rsidTr="00BE0B5A">
        <w:tc>
          <w:tcPr>
            <w:tcW w:w="2689" w:type="dxa"/>
            <w:shd w:val="clear" w:color="auto" w:fill="D0CECE" w:themeFill="background2" w:themeFillShade="E6"/>
          </w:tcPr>
          <w:p w:rsidR="00E41483" w:rsidRPr="00050278" w:rsidRDefault="00E41483" w:rsidP="00E41483">
            <w:pPr>
              <w:spacing w:after="0" w:line="240" w:lineRule="auto"/>
              <w:rPr>
                <w:rFonts w:asciiTheme="minorHAnsi" w:eastAsia="Times New Roman" w:hAnsiTheme="minorHAnsi" w:cs="Tahoma"/>
                <w:sz w:val="22"/>
                <w:szCs w:val="22"/>
                <w:lang w:eastAsia="sl-SI"/>
              </w:rPr>
            </w:pPr>
            <w:r w:rsidRPr="00050278">
              <w:rPr>
                <w:rFonts w:asciiTheme="minorHAnsi" w:eastAsia="Times New Roman" w:hAnsiTheme="minorHAnsi" w:cs="Tahoma"/>
                <w:sz w:val="22"/>
                <w:szCs w:val="22"/>
                <w:lang w:eastAsia="sl-SI"/>
              </w:rPr>
              <w:t>Izvajanje na problemskem območju občine Radeče</w:t>
            </w:r>
          </w:p>
        </w:tc>
        <w:tc>
          <w:tcPr>
            <w:tcW w:w="6373" w:type="dxa"/>
            <w:gridSpan w:val="2"/>
          </w:tcPr>
          <w:p w:rsidR="00E41483" w:rsidRPr="00050278" w:rsidRDefault="00E41483" w:rsidP="00E41483">
            <w:pPr>
              <w:jc w:val="both"/>
              <w:rPr>
                <w:rFonts w:asciiTheme="minorHAnsi" w:hAnsiTheme="minorHAnsi" w:cstheme="minorHAnsi"/>
                <w:b/>
                <w:bCs/>
                <w:sz w:val="22"/>
                <w:szCs w:val="22"/>
              </w:rPr>
            </w:pPr>
            <w:r w:rsidRPr="00050278">
              <w:rPr>
                <w:rFonts w:asciiTheme="minorHAnsi" w:hAnsiTheme="minorHAnsi" w:cstheme="minorHAnsi"/>
                <w:b/>
                <w:bCs/>
                <w:sz w:val="22"/>
                <w:szCs w:val="22"/>
              </w:rPr>
              <w:t>DA</w:t>
            </w:r>
          </w:p>
        </w:tc>
      </w:tr>
      <w:tr w:rsidR="00E41483" w:rsidRPr="00050278" w:rsidTr="00F82117">
        <w:tc>
          <w:tcPr>
            <w:tcW w:w="2689" w:type="dxa"/>
            <w:shd w:val="clear" w:color="auto" w:fill="D0CECE" w:themeFill="background2" w:themeFillShade="E6"/>
          </w:tcPr>
          <w:p w:rsidR="00E41483" w:rsidRPr="00050278" w:rsidRDefault="00E41483" w:rsidP="00E41483">
            <w:pPr>
              <w:spacing w:after="0" w:line="240" w:lineRule="auto"/>
              <w:jc w:val="both"/>
              <w:rPr>
                <w:rFonts w:asciiTheme="minorHAnsi" w:eastAsia="Times New Roman" w:hAnsiTheme="minorHAnsi" w:cstheme="minorHAnsi"/>
                <w:sz w:val="22"/>
                <w:szCs w:val="22"/>
                <w:lang w:eastAsia="sl-SI"/>
              </w:rPr>
            </w:pPr>
            <w:r w:rsidRPr="00050278">
              <w:rPr>
                <w:rFonts w:asciiTheme="minorHAnsi" w:eastAsia="Times New Roman" w:hAnsiTheme="minorHAnsi" w:cstheme="minorHAnsi"/>
                <w:sz w:val="22"/>
                <w:szCs w:val="22"/>
                <w:lang w:eastAsia="sl-SI"/>
              </w:rPr>
              <w:t>Naziv vlagatelja in višina podpore EKSRP</w:t>
            </w:r>
          </w:p>
          <w:p w:rsidR="00E41483" w:rsidRPr="00050278" w:rsidRDefault="00E41483" w:rsidP="00E41483">
            <w:pPr>
              <w:spacing w:after="0" w:line="240" w:lineRule="auto"/>
              <w:jc w:val="both"/>
              <w:rPr>
                <w:rFonts w:asciiTheme="minorHAnsi" w:eastAsia="Times New Roman" w:hAnsiTheme="minorHAnsi" w:cstheme="minorHAnsi"/>
                <w:sz w:val="22"/>
                <w:szCs w:val="22"/>
                <w:lang w:eastAsia="sl-SI"/>
              </w:rPr>
            </w:pPr>
          </w:p>
        </w:tc>
        <w:tc>
          <w:tcPr>
            <w:tcW w:w="4677" w:type="dxa"/>
          </w:tcPr>
          <w:p w:rsidR="00E41483" w:rsidRPr="00050278" w:rsidRDefault="00E41483" w:rsidP="00E41483">
            <w:pPr>
              <w:spacing w:before="240" w:after="0" w:line="240" w:lineRule="auto"/>
              <w:jc w:val="both"/>
              <w:rPr>
                <w:rFonts w:asciiTheme="minorHAnsi" w:eastAsia="Times New Roman" w:hAnsiTheme="minorHAnsi" w:cstheme="minorHAnsi"/>
                <w:b/>
                <w:sz w:val="22"/>
                <w:szCs w:val="22"/>
                <w:lang w:eastAsia="sl-SI"/>
              </w:rPr>
            </w:pPr>
            <w:r w:rsidRPr="00050278">
              <w:rPr>
                <w:rFonts w:asciiTheme="minorHAnsi" w:hAnsiTheme="minorHAnsi" w:cstheme="minorHAnsi"/>
                <w:b/>
                <w:bCs/>
                <w:sz w:val="22"/>
                <w:szCs w:val="22"/>
              </w:rPr>
              <w:t>JZ ZDRAVSTVENI DOM RADEČE</w:t>
            </w:r>
          </w:p>
        </w:tc>
        <w:tc>
          <w:tcPr>
            <w:tcW w:w="1696" w:type="dxa"/>
          </w:tcPr>
          <w:p w:rsidR="00E41483" w:rsidRPr="00050278" w:rsidRDefault="00E41483" w:rsidP="00E41483">
            <w:pPr>
              <w:spacing w:after="160" w:line="259" w:lineRule="auto"/>
              <w:rPr>
                <w:rFonts w:asciiTheme="minorHAnsi" w:eastAsia="Times New Roman" w:hAnsiTheme="minorHAnsi" w:cstheme="minorHAnsi"/>
                <w:b/>
                <w:sz w:val="22"/>
                <w:szCs w:val="22"/>
                <w:lang w:eastAsia="sl-SI"/>
              </w:rPr>
            </w:pPr>
            <w:r w:rsidRPr="00050278">
              <w:rPr>
                <w:rFonts w:ascii="Calibri" w:eastAsia="Times New Roman" w:hAnsi="Calibri" w:cs="Calibri"/>
                <w:color w:val="000000"/>
                <w:sz w:val="22"/>
                <w:szCs w:val="22"/>
                <w:lang w:eastAsia="sl-SI"/>
              </w:rPr>
              <w:t>41.576,96 EUR</w:t>
            </w:r>
          </w:p>
        </w:tc>
      </w:tr>
      <w:tr w:rsidR="00E41483" w:rsidRPr="00050278" w:rsidTr="00F82117">
        <w:tc>
          <w:tcPr>
            <w:tcW w:w="2689" w:type="dxa"/>
            <w:shd w:val="clear" w:color="auto" w:fill="D0CECE" w:themeFill="background2" w:themeFillShade="E6"/>
          </w:tcPr>
          <w:p w:rsidR="00E41483" w:rsidRPr="00050278" w:rsidRDefault="00E41483" w:rsidP="00E41483">
            <w:pPr>
              <w:spacing w:line="240" w:lineRule="auto"/>
              <w:jc w:val="both"/>
              <w:rPr>
                <w:rFonts w:asciiTheme="minorHAnsi" w:eastAsia="Times New Roman" w:hAnsiTheme="minorHAnsi" w:cstheme="minorHAnsi"/>
                <w:sz w:val="22"/>
                <w:szCs w:val="22"/>
                <w:lang w:eastAsia="sl-SI"/>
              </w:rPr>
            </w:pPr>
            <w:r w:rsidRPr="00050278">
              <w:rPr>
                <w:rFonts w:asciiTheme="minorHAnsi" w:eastAsia="Times New Roman" w:hAnsiTheme="minorHAnsi" w:cstheme="minorHAnsi"/>
                <w:sz w:val="22"/>
                <w:szCs w:val="22"/>
                <w:lang w:eastAsia="sl-SI"/>
              </w:rPr>
              <w:t>Naziv partnerjev in višina podpore EKSRP</w:t>
            </w:r>
          </w:p>
          <w:p w:rsidR="00E41483" w:rsidRPr="00050278" w:rsidRDefault="00E41483" w:rsidP="00E41483">
            <w:pPr>
              <w:spacing w:line="240" w:lineRule="auto"/>
              <w:jc w:val="both"/>
              <w:rPr>
                <w:rFonts w:asciiTheme="minorHAnsi" w:eastAsia="Times New Roman" w:hAnsiTheme="minorHAnsi" w:cstheme="minorHAnsi"/>
                <w:sz w:val="22"/>
                <w:szCs w:val="22"/>
                <w:lang w:eastAsia="sl-SI"/>
              </w:rPr>
            </w:pPr>
          </w:p>
        </w:tc>
        <w:tc>
          <w:tcPr>
            <w:tcW w:w="4677" w:type="dxa"/>
          </w:tcPr>
          <w:p w:rsidR="00E41483" w:rsidRPr="00050278" w:rsidRDefault="00E41483" w:rsidP="00E41483">
            <w:pPr>
              <w:spacing w:line="240" w:lineRule="auto"/>
              <w:rPr>
                <w:rFonts w:asciiTheme="minorHAnsi" w:hAnsiTheme="minorHAnsi" w:cstheme="minorHAnsi"/>
                <w:bCs/>
                <w:sz w:val="22"/>
                <w:szCs w:val="22"/>
              </w:rPr>
            </w:pPr>
            <w:r w:rsidRPr="00050278">
              <w:rPr>
                <w:rFonts w:asciiTheme="minorHAnsi" w:hAnsiTheme="minorHAnsi" w:cstheme="minorHAnsi"/>
                <w:bCs/>
                <w:sz w:val="22"/>
                <w:szCs w:val="22"/>
              </w:rPr>
              <w:t>OBČINA RADEČE</w:t>
            </w:r>
          </w:p>
          <w:p w:rsidR="00E41483" w:rsidRPr="00050278" w:rsidRDefault="00E41483" w:rsidP="00E41483">
            <w:pPr>
              <w:spacing w:line="240" w:lineRule="auto"/>
              <w:rPr>
                <w:rFonts w:asciiTheme="minorHAnsi" w:hAnsiTheme="minorHAnsi" w:cstheme="minorHAnsi"/>
                <w:bCs/>
                <w:i/>
                <w:sz w:val="22"/>
                <w:szCs w:val="22"/>
              </w:rPr>
            </w:pPr>
            <w:r w:rsidRPr="00050278">
              <w:rPr>
                <w:rFonts w:asciiTheme="minorHAnsi" w:hAnsiTheme="minorHAnsi" w:cstheme="minorHAnsi"/>
                <w:bCs/>
                <w:sz w:val="22"/>
                <w:szCs w:val="22"/>
              </w:rPr>
              <w:t>DRUŠTVO UPOKOJENCEV RADEČE</w:t>
            </w:r>
          </w:p>
        </w:tc>
        <w:tc>
          <w:tcPr>
            <w:tcW w:w="1696" w:type="dxa"/>
          </w:tcPr>
          <w:p w:rsidR="00E41483" w:rsidRPr="00050278" w:rsidRDefault="00E41483" w:rsidP="00E41483">
            <w:pPr>
              <w:spacing w:line="240" w:lineRule="auto"/>
              <w:rPr>
                <w:rFonts w:ascii="Calibri" w:eastAsia="Times New Roman" w:hAnsi="Calibri" w:cs="Calibri"/>
                <w:color w:val="000000"/>
                <w:sz w:val="22"/>
                <w:szCs w:val="22"/>
                <w:lang w:eastAsia="sl-SI"/>
              </w:rPr>
            </w:pPr>
            <w:r w:rsidRPr="00050278">
              <w:rPr>
                <w:rFonts w:ascii="Calibri" w:eastAsia="Times New Roman" w:hAnsi="Calibri" w:cs="Calibri"/>
                <w:color w:val="000000"/>
                <w:sz w:val="22"/>
                <w:szCs w:val="22"/>
                <w:lang w:eastAsia="sl-SI"/>
              </w:rPr>
              <w:t>3.506,74 EUR</w:t>
            </w:r>
          </w:p>
          <w:p w:rsidR="00E41483" w:rsidRPr="00050278" w:rsidRDefault="00E41483" w:rsidP="00E41483">
            <w:pPr>
              <w:spacing w:line="240" w:lineRule="auto"/>
              <w:rPr>
                <w:rFonts w:asciiTheme="minorHAnsi" w:hAnsiTheme="minorHAnsi" w:cstheme="minorHAnsi"/>
                <w:b/>
                <w:sz w:val="22"/>
                <w:szCs w:val="22"/>
              </w:rPr>
            </w:pPr>
            <w:r w:rsidRPr="00050278">
              <w:rPr>
                <w:rFonts w:ascii="Calibri" w:eastAsia="Times New Roman" w:hAnsi="Calibri" w:cs="Calibri"/>
                <w:color w:val="000000"/>
                <w:sz w:val="22"/>
                <w:szCs w:val="22"/>
                <w:lang w:eastAsia="sl-SI"/>
              </w:rPr>
              <w:t>5.256,12 EUR</w:t>
            </w:r>
          </w:p>
        </w:tc>
      </w:tr>
      <w:tr w:rsidR="00E41483" w:rsidRPr="00050278" w:rsidTr="00BE0B5A">
        <w:tc>
          <w:tcPr>
            <w:tcW w:w="2689" w:type="dxa"/>
            <w:shd w:val="clear" w:color="auto" w:fill="D0CECE" w:themeFill="background2" w:themeFillShade="E6"/>
          </w:tcPr>
          <w:p w:rsidR="00E41483" w:rsidRPr="00050278" w:rsidRDefault="00E41483" w:rsidP="00E41483">
            <w:pPr>
              <w:spacing w:after="0" w:line="240" w:lineRule="auto"/>
              <w:rPr>
                <w:rFonts w:asciiTheme="minorHAnsi" w:eastAsia="Times New Roman" w:hAnsiTheme="minorHAnsi" w:cstheme="minorHAnsi"/>
                <w:sz w:val="22"/>
                <w:szCs w:val="22"/>
                <w:lang w:eastAsia="sl-SI"/>
              </w:rPr>
            </w:pPr>
            <w:r w:rsidRPr="00050278">
              <w:rPr>
                <w:rFonts w:asciiTheme="minorHAnsi" w:eastAsia="Times New Roman" w:hAnsiTheme="minorHAnsi" w:cs="Tahoma"/>
                <w:b/>
                <w:sz w:val="22"/>
                <w:szCs w:val="22"/>
                <w:lang w:eastAsia="sl-SI"/>
              </w:rPr>
              <w:t>Skupna višina podpore EKSRP:</w:t>
            </w:r>
          </w:p>
        </w:tc>
        <w:tc>
          <w:tcPr>
            <w:tcW w:w="6373" w:type="dxa"/>
            <w:gridSpan w:val="2"/>
          </w:tcPr>
          <w:p w:rsidR="00E41483" w:rsidRPr="00050278" w:rsidRDefault="00E41483" w:rsidP="00E41483">
            <w:pPr>
              <w:rPr>
                <w:rFonts w:asciiTheme="minorHAnsi" w:hAnsiTheme="minorHAnsi" w:cstheme="minorHAnsi"/>
                <w:b/>
                <w:sz w:val="22"/>
                <w:szCs w:val="22"/>
              </w:rPr>
            </w:pPr>
            <w:r w:rsidRPr="00050278">
              <w:rPr>
                <w:rFonts w:ascii="Calibri" w:eastAsia="Times New Roman" w:hAnsi="Calibri" w:cs="Calibri"/>
                <w:b/>
                <w:bCs/>
                <w:color w:val="000000"/>
                <w:sz w:val="22"/>
                <w:szCs w:val="22"/>
                <w:lang w:eastAsia="sl-SI"/>
              </w:rPr>
              <w:t>50.339,82 EUR</w:t>
            </w:r>
          </w:p>
        </w:tc>
      </w:tr>
      <w:tr w:rsidR="00E41483" w:rsidRPr="00050278" w:rsidTr="00BE0B5A">
        <w:tc>
          <w:tcPr>
            <w:tcW w:w="2689" w:type="dxa"/>
            <w:shd w:val="clear" w:color="auto" w:fill="D0CECE" w:themeFill="background2" w:themeFillShade="E6"/>
          </w:tcPr>
          <w:p w:rsidR="00E41483" w:rsidRPr="00050278" w:rsidRDefault="00E41483" w:rsidP="00E41483">
            <w:pPr>
              <w:spacing w:after="0" w:line="240" w:lineRule="auto"/>
              <w:jc w:val="both"/>
              <w:rPr>
                <w:rFonts w:asciiTheme="minorHAnsi" w:eastAsia="Times New Roman" w:hAnsiTheme="minorHAnsi" w:cs="Tahoma"/>
                <w:b/>
                <w:sz w:val="22"/>
                <w:szCs w:val="22"/>
                <w:lang w:eastAsia="sl-SI"/>
              </w:rPr>
            </w:pPr>
            <w:r w:rsidRPr="00050278">
              <w:rPr>
                <w:rFonts w:asciiTheme="minorHAnsi" w:eastAsia="Times New Roman" w:hAnsiTheme="minorHAnsi" w:cs="Tahoma"/>
                <w:b/>
                <w:sz w:val="22"/>
                <w:szCs w:val="22"/>
                <w:lang w:eastAsia="sl-SI"/>
              </w:rPr>
              <w:t>Celotna vrednost operacije (z DDV)</w:t>
            </w:r>
            <w:r w:rsidR="00F23481">
              <w:rPr>
                <w:rFonts w:asciiTheme="minorHAnsi" w:eastAsia="Times New Roman" w:hAnsiTheme="minorHAnsi" w:cs="Tahoma"/>
                <w:b/>
                <w:sz w:val="22"/>
                <w:szCs w:val="22"/>
                <w:lang w:eastAsia="sl-SI"/>
              </w:rPr>
              <w:t>:</w:t>
            </w:r>
          </w:p>
        </w:tc>
        <w:tc>
          <w:tcPr>
            <w:tcW w:w="6373" w:type="dxa"/>
            <w:gridSpan w:val="2"/>
          </w:tcPr>
          <w:p w:rsidR="00E41483" w:rsidRPr="00050278" w:rsidRDefault="005F3828" w:rsidP="00E41483">
            <w:pPr>
              <w:rPr>
                <w:rFonts w:asciiTheme="minorHAnsi" w:hAnsiTheme="minorHAnsi" w:cstheme="minorHAnsi"/>
                <w:b/>
                <w:sz w:val="22"/>
                <w:szCs w:val="22"/>
              </w:rPr>
            </w:pPr>
            <w:r>
              <w:rPr>
                <w:rFonts w:asciiTheme="minorHAnsi" w:hAnsiTheme="minorHAnsi" w:cstheme="minorHAnsi"/>
                <w:b/>
                <w:sz w:val="22"/>
                <w:szCs w:val="22"/>
              </w:rPr>
              <w:t xml:space="preserve">73.900,00 </w:t>
            </w:r>
            <w:bookmarkStart w:id="1" w:name="_GoBack"/>
            <w:bookmarkEnd w:id="1"/>
            <w:r w:rsidR="00934A66">
              <w:rPr>
                <w:rFonts w:asciiTheme="minorHAnsi" w:hAnsiTheme="minorHAnsi" w:cstheme="minorHAnsi"/>
                <w:b/>
                <w:sz w:val="22"/>
                <w:szCs w:val="22"/>
              </w:rPr>
              <w:t>EUR</w:t>
            </w:r>
          </w:p>
        </w:tc>
      </w:tr>
      <w:tr w:rsidR="00E41483" w:rsidRPr="00050278" w:rsidTr="00AC4AEA">
        <w:tc>
          <w:tcPr>
            <w:tcW w:w="2689" w:type="dxa"/>
            <w:shd w:val="clear" w:color="auto" w:fill="D0CECE" w:themeFill="background2" w:themeFillShade="E6"/>
          </w:tcPr>
          <w:p w:rsidR="00E41483" w:rsidRPr="00050278" w:rsidRDefault="00E41483" w:rsidP="00E41483">
            <w:pPr>
              <w:rPr>
                <w:rFonts w:asciiTheme="minorHAnsi" w:hAnsiTheme="minorHAnsi" w:cstheme="minorHAnsi"/>
                <w:sz w:val="22"/>
                <w:szCs w:val="22"/>
              </w:rPr>
            </w:pPr>
            <w:r w:rsidRPr="00050278">
              <w:rPr>
                <w:rFonts w:asciiTheme="minorHAnsi" w:hAnsiTheme="minorHAnsi" w:cstheme="minorHAnsi"/>
                <w:sz w:val="22"/>
                <w:szCs w:val="22"/>
              </w:rPr>
              <w:t>Trajanje operacije</w:t>
            </w:r>
          </w:p>
        </w:tc>
        <w:tc>
          <w:tcPr>
            <w:tcW w:w="6373" w:type="dxa"/>
            <w:gridSpan w:val="2"/>
            <w:vAlign w:val="center"/>
          </w:tcPr>
          <w:p w:rsidR="00E41483" w:rsidRPr="00050278" w:rsidRDefault="00E41483" w:rsidP="00E41483">
            <w:pPr>
              <w:rPr>
                <w:rFonts w:asciiTheme="minorHAnsi" w:hAnsiTheme="minorHAnsi" w:cstheme="minorHAnsi"/>
                <w:bCs/>
                <w:i/>
                <w:sz w:val="22"/>
                <w:szCs w:val="22"/>
              </w:rPr>
            </w:pPr>
            <w:r w:rsidRPr="00050278">
              <w:rPr>
                <w:rFonts w:asciiTheme="minorHAnsi" w:hAnsiTheme="minorHAnsi" w:cstheme="minorHAnsi"/>
                <w:bCs/>
                <w:i/>
                <w:sz w:val="22"/>
                <w:szCs w:val="22"/>
              </w:rPr>
              <w:t>1. 10. 2019 – 30. 7. 2020 (10 mesecev, 1 faza)</w:t>
            </w:r>
          </w:p>
        </w:tc>
      </w:tr>
    </w:tbl>
    <w:p w:rsidR="002731F6" w:rsidRPr="00050278" w:rsidRDefault="002731F6" w:rsidP="00CB12CD">
      <w:pPr>
        <w:widowControl w:val="0"/>
        <w:autoSpaceDE w:val="0"/>
        <w:autoSpaceDN w:val="0"/>
        <w:adjustRightInd w:val="0"/>
        <w:spacing w:after="0" w:line="240" w:lineRule="auto"/>
        <w:jc w:val="both"/>
        <w:rPr>
          <w:rFonts w:asciiTheme="minorHAnsi" w:hAnsiTheme="minorHAnsi" w:cstheme="minorHAnsi"/>
          <w:bCs/>
          <w:sz w:val="22"/>
          <w:szCs w:val="22"/>
        </w:rPr>
      </w:pPr>
    </w:p>
    <w:p w:rsidR="009C1443" w:rsidRPr="00050278" w:rsidRDefault="009C1443" w:rsidP="00CB12CD">
      <w:pPr>
        <w:widowControl w:val="0"/>
        <w:autoSpaceDE w:val="0"/>
        <w:autoSpaceDN w:val="0"/>
        <w:adjustRightInd w:val="0"/>
        <w:spacing w:after="0" w:line="240" w:lineRule="auto"/>
        <w:jc w:val="both"/>
        <w:rPr>
          <w:rFonts w:asciiTheme="minorHAnsi" w:hAnsiTheme="minorHAnsi" w:cstheme="minorHAnsi"/>
          <w:bCs/>
          <w:sz w:val="22"/>
          <w:szCs w:val="22"/>
        </w:rPr>
      </w:pPr>
    </w:p>
    <w:p w:rsidR="00BE0B5A" w:rsidRPr="00050278" w:rsidRDefault="00BE0B5A" w:rsidP="00BE0B5A">
      <w:pPr>
        <w:pStyle w:val="Odstavekseznama"/>
        <w:widowControl w:val="0"/>
        <w:numPr>
          <w:ilvl w:val="0"/>
          <w:numId w:val="12"/>
        </w:numPr>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theme="minorHAnsi"/>
          <w:b/>
          <w:bCs/>
          <w:sz w:val="22"/>
          <w:szCs w:val="22"/>
        </w:rPr>
        <w:t>Opis operacije</w:t>
      </w:r>
    </w:p>
    <w:p w:rsidR="00BE0B5A" w:rsidRPr="00050278" w:rsidRDefault="00BE0B5A" w:rsidP="00BE0B5A">
      <w:pPr>
        <w:widowControl w:val="0"/>
        <w:autoSpaceDE w:val="0"/>
        <w:autoSpaceDN w:val="0"/>
        <w:adjustRightInd w:val="0"/>
        <w:spacing w:after="0" w:line="240" w:lineRule="auto"/>
        <w:ind w:left="360"/>
        <w:jc w:val="both"/>
        <w:rPr>
          <w:rFonts w:asciiTheme="minorHAnsi" w:hAnsiTheme="minorHAnsi" w:cstheme="minorHAnsi"/>
          <w:b/>
          <w:bCs/>
          <w:sz w:val="22"/>
          <w:szCs w:val="22"/>
        </w:rPr>
      </w:pPr>
    </w:p>
    <w:tbl>
      <w:tblPr>
        <w:tblStyle w:val="Tabelamrea"/>
        <w:tblW w:w="0" w:type="auto"/>
        <w:tblInd w:w="360" w:type="dxa"/>
        <w:tblLook w:val="04A0" w:firstRow="1" w:lastRow="0" w:firstColumn="1" w:lastColumn="0" w:noHBand="0" w:noVBand="1"/>
      </w:tblPr>
      <w:tblGrid>
        <w:gridCol w:w="8702"/>
      </w:tblGrid>
      <w:tr w:rsidR="00BE0B5A" w:rsidRPr="00050278" w:rsidTr="00BE0B5A">
        <w:tc>
          <w:tcPr>
            <w:tcW w:w="9062" w:type="dxa"/>
          </w:tcPr>
          <w:p w:rsidR="00690789" w:rsidRPr="00050278" w:rsidRDefault="00EB7E35" w:rsidP="00690789">
            <w:pPr>
              <w:pStyle w:val="Default"/>
              <w:jc w:val="both"/>
              <w:rPr>
                <w:rFonts w:asciiTheme="minorHAnsi" w:hAnsiTheme="minorHAnsi"/>
                <w:b/>
                <w:sz w:val="22"/>
                <w:szCs w:val="22"/>
              </w:rPr>
            </w:pPr>
            <w:r w:rsidRPr="00050278">
              <w:rPr>
                <w:rFonts w:asciiTheme="minorHAnsi" w:hAnsiTheme="minorHAnsi" w:cstheme="minorHAnsi"/>
                <w:sz w:val="22"/>
                <w:szCs w:val="22"/>
              </w:rPr>
              <w:t xml:space="preserve"> </w:t>
            </w:r>
            <w:r w:rsidR="00690789" w:rsidRPr="00050278">
              <w:rPr>
                <w:rFonts w:asciiTheme="minorHAnsi" w:hAnsiTheme="minorHAnsi"/>
                <w:b/>
                <w:sz w:val="22"/>
                <w:szCs w:val="22"/>
              </w:rPr>
              <w:t xml:space="preserve">Operacija rešuje naslednje izzive SLR: </w:t>
            </w:r>
          </w:p>
          <w:p w:rsidR="00690789" w:rsidRPr="00050278" w:rsidRDefault="00690789" w:rsidP="00690789">
            <w:pPr>
              <w:pStyle w:val="Default"/>
              <w:numPr>
                <w:ilvl w:val="0"/>
                <w:numId w:val="22"/>
              </w:numPr>
              <w:jc w:val="both"/>
              <w:rPr>
                <w:sz w:val="22"/>
                <w:szCs w:val="22"/>
              </w:rPr>
            </w:pPr>
            <w:r w:rsidRPr="00050278">
              <w:rPr>
                <w:rFonts w:asciiTheme="minorHAnsi" w:hAnsiTheme="minorHAnsi"/>
                <w:sz w:val="22"/>
                <w:szCs w:val="22"/>
              </w:rPr>
              <w:t>staranje prebivalstva kot izziv in priložnost za ustvarjanje novih stori</w:t>
            </w:r>
            <w:r w:rsidR="006D5B4E">
              <w:rPr>
                <w:rFonts w:asciiTheme="minorHAnsi" w:hAnsiTheme="minorHAnsi"/>
                <w:sz w:val="22"/>
                <w:szCs w:val="22"/>
              </w:rPr>
              <w:t>tev, ki bodo starejšim omogočale</w:t>
            </w:r>
            <w:r w:rsidRPr="00050278">
              <w:rPr>
                <w:rFonts w:asciiTheme="minorHAnsi" w:hAnsiTheme="minorHAnsi"/>
                <w:sz w:val="22"/>
                <w:szCs w:val="22"/>
              </w:rPr>
              <w:t xml:space="preserve"> čim dlje ostati in živeti samostojno in dostojanstveno življenje;</w:t>
            </w:r>
          </w:p>
          <w:p w:rsidR="00690789" w:rsidRPr="00050278" w:rsidRDefault="00690789" w:rsidP="00690789">
            <w:pPr>
              <w:pStyle w:val="Default"/>
              <w:numPr>
                <w:ilvl w:val="0"/>
                <w:numId w:val="22"/>
              </w:numPr>
              <w:jc w:val="both"/>
              <w:rPr>
                <w:sz w:val="22"/>
                <w:szCs w:val="22"/>
              </w:rPr>
            </w:pPr>
            <w:r w:rsidRPr="00050278">
              <w:rPr>
                <w:rFonts w:asciiTheme="minorHAnsi" w:hAnsiTheme="minorHAnsi"/>
                <w:sz w:val="22"/>
                <w:szCs w:val="22"/>
              </w:rPr>
              <w:t>socialna vključenost in medgeneracijsko sodelovanje;</w:t>
            </w:r>
          </w:p>
          <w:p w:rsidR="009C1443" w:rsidRPr="00050278" w:rsidRDefault="00690789" w:rsidP="009C1443">
            <w:pPr>
              <w:pStyle w:val="Default"/>
              <w:numPr>
                <w:ilvl w:val="0"/>
                <w:numId w:val="22"/>
              </w:numPr>
              <w:jc w:val="both"/>
              <w:rPr>
                <w:sz w:val="22"/>
                <w:szCs w:val="22"/>
              </w:rPr>
            </w:pPr>
            <w:r w:rsidRPr="00050278">
              <w:rPr>
                <w:rFonts w:asciiTheme="minorHAnsi" w:hAnsiTheme="minorHAnsi"/>
                <w:sz w:val="22"/>
                <w:szCs w:val="22"/>
              </w:rPr>
              <w:t>povezovanje za izboljšanje oblik soc</w:t>
            </w:r>
            <w:r w:rsidR="009C1443" w:rsidRPr="00050278">
              <w:rPr>
                <w:rFonts w:asciiTheme="minorHAnsi" w:hAnsiTheme="minorHAnsi"/>
                <w:sz w:val="22"/>
                <w:szCs w:val="22"/>
              </w:rPr>
              <w:t>ialne pomoči ranljivim skupinam</w:t>
            </w:r>
          </w:p>
          <w:p w:rsidR="00690789" w:rsidRPr="00050278" w:rsidRDefault="00690789" w:rsidP="00690789">
            <w:pPr>
              <w:pStyle w:val="Default"/>
              <w:jc w:val="both"/>
              <w:rPr>
                <w:rFonts w:asciiTheme="minorHAnsi" w:hAnsiTheme="minorHAnsi"/>
                <w:sz w:val="22"/>
                <w:szCs w:val="22"/>
              </w:rPr>
            </w:pPr>
            <w:r w:rsidRPr="00050278">
              <w:rPr>
                <w:rFonts w:asciiTheme="minorHAnsi" w:hAnsiTheme="minorHAnsi"/>
                <w:sz w:val="22"/>
                <w:szCs w:val="22"/>
              </w:rPr>
              <w:t xml:space="preserve">Indeks staranja prebivalstva se je v Posavju in občini Radeče v zadnjih desetih letih povečal. Tako postaja staranje prebivalstva izziv za izboljševanje kakovosti življenja in večje medgeneracijsko </w:t>
            </w:r>
            <w:r w:rsidRPr="00050278">
              <w:rPr>
                <w:rFonts w:asciiTheme="minorHAnsi" w:hAnsiTheme="minorHAnsi"/>
                <w:sz w:val="22"/>
                <w:szCs w:val="22"/>
              </w:rPr>
              <w:lastRenderedPageBreak/>
              <w:t xml:space="preserve">sodelovanje, ki prispeva k zmanjševanju socialne izključenosti. Prav tako je izziv tudi povečanje dostopnosti za povezanost storitev različnih sektorjev pri delu z ranljivimi ciljnimi skupinami. Operacija rešuje izzive za vzpostavitev nove celostne rešitve za izboljšanje kakovosti življenja na področju storitev za starejše, aktivno staranje in medgeneracijsko sodelovanje, kakor tudi zmanjšanje socialnih stisk in povečanje dostopnosti do socialnih storitev. Izziv predstavlja tudi partnersko povezovanje za razvoj storitev za starejše (predvsem socialno izključene) v občini. </w:t>
            </w:r>
          </w:p>
          <w:p w:rsidR="00690789" w:rsidRPr="00050278" w:rsidRDefault="00690789" w:rsidP="00690789">
            <w:pPr>
              <w:pStyle w:val="Default"/>
              <w:jc w:val="both"/>
              <w:rPr>
                <w:rFonts w:asciiTheme="minorHAnsi" w:hAnsiTheme="minorHAnsi"/>
                <w:sz w:val="22"/>
                <w:szCs w:val="22"/>
              </w:rPr>
            </w:pPr>
          </w:p>
          <w:p w:rsidR="00690789" w:rsidRPr="00050278" w:rsidRDefault="00690789" w:rsidP="00690789">
            <w:pPr>
              <w:pStyle w:val="Default"/>
              <w:jc w:val="both"/>
              <w:rPr>
                <w:rFonts w:asciiTheme="minorHAnsi" w:hAnsiTheme="minorHAnsi"/>
                <w:sz w:val="22"/>
                <w:szCs w:val="22"/>
              </w:rPr>
            </w:pPr>
            <w:r w:rsidRPr="00050278">
              <w:rPr>
                <w:rFonts w:asciiTheme="minorHAnsi" w:hAnsiTheme="minorHAnsi"/>
                <w:b/>
                <w:sz w:val="22"/>
                <w:szCs w:val="22"/>
              </w:rPr>
              <w:t>Glavne aktivnosti pri operacij so naslednje:</w:t>
            </w:r>
            <w:r w:rsidRPr="00050278">
              <w:rPr>
                <w:rFonts w:asciiTheme="minorHAnsi" w:hAnsiTheme="minorHAnsi"/>
                <w:sz w:val="22"/>
                <w:szCs w:val="22"/>
              </w:rPr>
              <w:t xml:space="preserve"> vodenje projekta, promocija projekta, priprava programa usposabljanja za prostovoljce, izvedba usposabljanj za prostovoljce, nakup avtomobila in opreme, sistematično i</w:t>
            </w:r>
            <w:r w:rsidR="00E41483" w:rsidRPr="00050278">
              <w:rPr>
                <w:rFonts w:asciiTheme="minorHAnsi" w:hAnsiTheme="minorHAnsi"/>
                <w:sz w:val="22"/>
                <w:szCs w:val="22"/>
              </w:rPr>
              <w:t xml:space="preserve">skanje potencialnih uporabnikov </w:t>
            </w:r>
            <w:r w:rsidRPr="00050278">
              <w:rPr>
                <w:rFonts w:asciiTheme="minorHAnsi" w:hAnsiTheme="minorHAnsi"/>
                <w:sz w:val="22"/>
                <w:szCs w:val="22"/>
              </w:rPr>
              <w:t xml:space="preserve">in prostovoljcev, ki bodo v času izvajanja aktivnosti zagotavljali dežurno prisotnost v centru in zagotavljali brezplačne prevoze, priprava mesečnih programov oz. delavnic in njihova izvedba ter evalvacija projekta. </w:t>
            </w:r>
          </w:p>
          <w:p w:rsidR="00690789" w:rsidRPr="00050278" w:rsidRDefault="00690789" w:rsidP="00690789">
            <w:pPr>
              <w:pStyle w:val="Default"/>
              <w:jc w:val="both"/>
              <w:rPr>
                <w:rFonts w:asciiTheme="minorHAnsi" w:hAnsiTheme="minorHAnsi"/>
                <w:sz w:val="22"/>
                <w:szCs w:val="22"/>
              </w:rPr>
            </w:pPr>
          </w:p>
          <w:p w:rsidR="00690789" w:rsidRPr="00050278" w:rsidRDefault="00690789" w:rsidP="002731F6">
            <w:pPr>
              <w:tabs>
                <w:tab w:val="left" w:pos="2956"/>
                <w:tab w:val="left" w:pos="3000"/>
              </w:tabs>
              <w:jc w:val="both"/>
              <w:rPr>
                <w:sz w:val="22"/>
                <w:szCs w:val="22"/>
              </w:rPr>
            </w:pPr>
            <w:r w:rsidRPr="00050278">
              <w:rPr>
                <w:rFonts w:asciiTheme="minorHAnsi" w:hAnsiTheme="minorHAnsi"/>
                <w:b/>
                <w:sz w:val="22"/>
                <w:szCs w:val="22"/>
              </w:rPr>
              <w:t>Cilji operacije so:</w:t>
            </w:r>
            <w:r w:rsidRPr="00050278">
              <w:rPr>
                <w:rFonts w:asciiTheme="minorHAnsi" w:hAnsiTheme="minorHAnsi"/>
                <w:sz w:val="22"/>
                <w:szCs w:val="22"/>
              </w:rPr>
              <w:t xml:space="preserve"> </w:t>
            </w:r>
            <w:r w:rsidRPr="00050278">
              <w:rPr>
                <w:rFonts w:asciiTheme="minorHAnsi" w:hAnsiTheme="minorHAnsi" w:cs="Arial"/>
                <w:color w:val="000000"/>
                <w:sz w:val="22"/>
                <w:szCs w:val="22"/>
              </w:rPr>
              <w:t>omogočiti starejšim aktivno staranje, preprečevati izoliranost in spodbujati vključenost v mrežo socialnih odnosov; omogočati podaljševanje življenja v privajenem domačem okolju in preprečevati nepotreben pritisk na institucionalno varstvo in oskrbo, ki lahko nastaja izključno zaradi socialne osamitve v domačem okolju ter aktivirati starejše kot vir pomoči, samopomoči in prostovoljstva.</w:t>
            </w:r>
          </w:p>
          <w:p w:rsidR="00690789" w:rsidRPr="00050278" w:rsidRDefault="00690789" w:rsidP="00690789">
            <w:pPr>
              <w:pStyle w:val="Default"/>
              <w:jc w:val="both"/>
              <w:rPr>
                <w:rFonts w:asciiTheme="minorHAnsi" w:hAnsiTheme="minorHAnsi"/>
                <w:color w:val="auto"/>
                <w:sz w:val="22"/>
                <w:szCs w:val="22"/>
              </w:rPr>
            </w:pPr>
            <w:r w:rsidRPr="00050278">
              <w:rPr>
                <w:rFonts w:asciiTheme="minorHAnsi" w:hAnsiTheme="minorHAnsi"/>
                <w:b/>
                <w:color w:val="auto"/>
                <w:sz w:val="22"/>
                <w:szCs w:val="22"/>
              </w:rPr>
              <w:t>Ključni rezultati in učinki projekta bodo:</w:t>
            </w:r>
            <w:r w:rsidRPr="00050278">
              <w:rPr>
                <w:rFonts w:asciiTheme="minorHAnsi" w:hAnsiTheme="minorHAnsi"/>
                <w:color w:val="auto"/>
                <w:sz w:val="22"/>
                <w:szCs w:val="22"/>
              </w:rPr>
              <w:t xml:space="preserve"> izvedeni dogodki oz. aktivnosti ozaveščanja ciljne skupine, izdelani programi usposabljanja za prost</w:t>
            </w:r>
            <w:r w:rsidR="006D5B4E">
              <w:rPr>
                <w:rFonts w:asciiTheme="minorHAnsi" w:hAnsiTheme="minorHAnsi"/>
                <w:color w:val="auto"/>
                <w:sz w:val="22"/>
                <w:szCs w:val="22"/>
              </w:rPr>
              <w:t xml:space="preserve">ovoljce, izvedeno usposabljanje </w:t>
            </w:r>
            <w:r w:rsidRPr="00050278">
              <w:rPr>
                <w:rFonts w:asciiTheme="minorHAnsi" w:hAnsiTheme="minorHAnsi"/>
                <w:color w:val="auto"/>
                <w:sz w:val="22"/>
                <w:szCs w:val="22"/>
              </w:rPr>
              <w:t xml:space="preserve">za prostovoljce, ustanovljeni center za starejše, kupljen avtomobil, izdelani in izvedeni mesečni dogodki in delavnice za udeležence iz ranljivih ciljnih skupin.    </w:t>
            </w:r>
          </w:p>
          <w:p w:rsidR="00690789" w:rsidRPr="00050278" w:rsidRDefault="00690789" w:rsidP="00690789">
            <w:pPr>
              <w:pStyle w:val="Default"/>
              <w:jc w:val="both"/>
              <w:rPr>
                <w:rFonts w:asciiTheme="minorHAnsi" w:hAnsiTheme="minorHAnsi"/>
                <w:sz w:val="22"/>
                <w:szCs w:val="22"/>
              </w:rPr>
            </w:pPr>
            <w:r w:rsidRPr="00050278">
              <w:rPr>
                <w:sz w:val="22"/>
                <w:szCs w:val="22"/>
              </w:rPr>
              <w:t xml:space="preserve"> </w:t>
            </w:r>
          </w:p>
          <w:p w:rsidR="005D286D" w:rsidRPr="006D5B4E" w:rsidRDefault="00690789" w:rsidP="006D5B4E">
            <w:pPr>
              <w:pStyle w:val="Default"/>
              <w:jc w:val="both"/>
              <w:rPr>
                <w:rFonts w:asciiTheme="minorHAnsi" w:hAnsiTheme="minorHAnsi" w:cstheme="minorHAnsi"/>
                <w:bCs/>
                <w:sz w:val="22"/>
                <w:szCs w:val="22"/>
              </w:rPr>
            </w:pPr>
            <w:r w:rsidRPr="00050278">
              <w:rPr>
                <w:rFonts w:asciiTheme="minorHAnsi" w:hAnsiTheme="minorHAnsi" w:cstheme="minorHAnsi"/>
                <w:bCs/>
                <w:sz w:val="22"/>
                <w:szCs w:val="22"/>
              </w:rPr>
              <w:t xml:space="preserve">Rezultati in učinki so prenosljivi na druga območja, še posebej v luči inovativnosti projektnega predloga: inovativna metoda dela (participativno vodenje aktivnosti skupaj z udeleženci), kakor tudi ustanovitev centra in zagotavljanje mobilnosti udeležencev v smislu zagotavljanja brezplačnega varnega prevoza v in iz centra domov. </w:t>
            </w:r>
            <w:r w:rsidRPr="00050278">
              <w:rPr>
                <w:rFonts w:asciiTheme="minorHAnsi" w:hAnsiTheme="minorHAnsi" w:cs="Arial"/>
                <w:sz w:val="22"/>
                <w:szCs w:val="22"/>
              </w:rPr>
              <w:t>Tako center za starejše, organizirani brezplačni prevozi, kot tudi metode dela v centru, pomenijo izboljšano kvaliteto življenja starejših in socialno izključenih oseb v fazi življenja, ko potrebujejo dodatno dobro energijo in stimulativno okolje, v katerem se bodo počutili zaželeni in varni.</w:t>
            </w:r>
          </w:p>
        </w:tc>
      </w:tr>
    </w:tbl>
    <w:p w:rsidR="006F7C58" w:rsidRPr="00050278" w:rsidRDefault="006F7C58" w:rsidP="00BE0B5A">
      <w:pPr>
        <w:widowControl w:val="0"/>
        <w:autoSpaceDE w:val="0"/>
        <w:autoSpaceDN w:val="0"/>
        <w:adjustRightInd w:val="0"/>
        <w:spacing w:after="0" w:line="240" w:lineRule="auto"/>
        <w:ind w:left="360"/>
        <w:jc w:val="both"/>
        <w:rPr>
          <w:rFonts w:asciiTheme="minorHAnsi" w:hAnsiTheme="minorHAnsi" w:cstheme="minorHAnsi"/>
          <w:b/>
          <w:bCs/>
          <w:sz w:val="22"/>
          <w:szCs w:val="22"/>
        </w:rPr>
      </w:pPr>
    </w:p>
    <w:p w:rsidR="009C1443" w:rsidRPr="00050278" w:rsidRDefault="009C1443" w:rsidP="00E41483">
      <w:pPr>
        <w:widowControl w:val="0"/>
        <w:autoSpaceDE w:val="0"/>
        <w:autoSpaceDN w:val="0"/>
        <w:adjustRightInd w:val="0"/>
        <w:spacing w:after="0" w:line="240" w:lineRule="auto"/>
        <w:jc w:val="both"/>
        <w:rPr>
          <w:rFonts w:asciiTheme="minorHAnsi" w:hAnsiTheme="minorHAnsi" w:cstheme="minorHAnsi"/>
          <w:b/>
          <w:bCs/>
          <w:sz w:val="22"/>
          <w:szCs w:val="22"/>
        </w:rPr>
      </w:pPr>
    </w:p>
    <w:p w:rsidR="00BE0B5A" w:rsidRPr="00050278" w:rsidRDefault="007B4298" w:rsidP="00BE0B5A">
      <w:pPr>
        <w:pStyle w:val="Odstavekseznama"/>
        <w:widowControl w:val="0"/>
        <w:numPr>
          <w:ilvl w:val="0"/>
          <w:numId w:val="12"/>
        </w:numPr>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theme="minorHAnsi"/>
          <w:b/>
          <w:bCs/>
          <w:sz w:val="22"/>
          <w:szCs w:val="22"/>
        </w:rPr>
        <w:t>Cilji in kazalniki operacije</w:t>
      </w:r>
    </w:p>
    <w:p w:rsidR="00ED302B" w:rsidRPr="00050278" w:rsidRDefault="00ED302B" w:rsidP="00225ACF">
      <w:pPr>
        <w:widowControl w:val="0"/>
        <w:autoSpaceDE w:val="0"/>
        <w:autoSpaceDN w:val="0"/>
        <w:adjustRightInd w:val="0"/>
        <w:spacing w:after="0" w:line="240" w:lineRule="auto"/>
        <w:jc w:val="both"/>
        <w:rPr>
          <w:rFonts w:asciiTheme="minorHAnsi" w:hAnsiTheme="minorHAnsi" w:cstheme="minorHAnsi"/>
          <w:b/>
          <w:bCs/>
          <w:sz w:val="22"/>
          <w:szCs w:val="22"/>
        </w:rPr>
      </w:pPr>
    </w:p>
    <w:tbl>
      <w:tblPr>
        <w:tblW w:w="9084"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4080"/>
        <w:gridCol w:w="4060"/>
        <w:gridCol w:w="944"/>
      </w:tblGrid>
      <w:tr w:rsidR="00690789" w:rsidRPr="00050278" w:rsidTr="00493C9F">
        <w:trPr>
          <w:trHeight w:val="312"/>
        </w:trPr>
        <w:tc>
          <w:tcPr>
            <w:tcW w:w="4080" w:type="dxa"/>
            <w:tcBorders>
              <w:top w:val="single" w:sz="4" w:space="0" w:color="00000A"/>
              <w:left w:val="single" w:sz="4" w:space="0" w:color="00000A"/>
              <w:bottom w:val="single" w:sz="4" w:space="0" w:color="00000A"/>
              <w:right w:val="single" w:sz="4" w:space="0" w:color="00000A"/>
            </w:tcBorders>
            <w:shd w:val="clear" w:color="000000" w:fill="D8D8D8"/>
            <w:tcMar>
              <w:left w:w="55" w:type="dxa"/>
            </w:tcMar>
            <w:vAlign w:val="bottom"/>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t>Cilj</w:t>
            </w:r>
          </w:p>
        </w:tc>
        <w:tc>
          <w:tcPr>
            <w:tcW w:w="4060" w:type="dxa"/>
            <w:tcBorders>
              <w:top w:val="single" w:sz="4" w:space="0" w:color="00000A"/>
              <w:left w:val="single" w:sz="4" w:space="0" w:color="00000A"/>
              <w:bottom w:val="single" w:sz="4" w:space="0" w:color="00000A"/>
              <w:right w:val="single" w:sz="4" w:space="0" w:color="00000A"/>
            </w:tcBorders>
            <w:shd w:val="clear" w:color="000000" w:fill="D8D8D8"/>
            <w:vAlign w:val="bottom"/>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t>Kazalnik</w:t>
            </w:r>
          </w:p>
        </w:tc>
        <w:tc>
          <w:tcPr>
            <w:tcW w:w="944" w:type="dxa"/>
            <w:tcBorders>
              <w:top w:val="single" w:sz="4" w:space="0" w:color="00000A"/>
              <w:left w:val="single" w:sz="4" w:space="0" w:color="00000A"/>
              <w:bottom w:val="single" w:sz="4" w:space="0" w:color="00000A"/>
              <w:right w:val="single" w:sz="4" w:space="0" w:color="00000A"/>
            </w:tcBorders>
            <w:shd w:val="clear" w:color="000000" w:fill="D8D8D8"/>
            <w:vAlign w:val="bottom"/>
          </w:tcPr>
          <w:p w:rsidR="00690789" w:rsidRPr="00050278" w:rsidRDefault="00690789" w:rsidP="00493C9F">
            <w:pPr>
              <w:jc w:val="both"/>
              <w:rPr>
                <w:rFonts w:asciiTheme="minorHAnsi" w:hAnsiTheme="minorHAnsi" w:cstheme="minorHAnsi"/>
                <w:color w:val="000000"/>
                <w:sz w:val="22"/>
                <w:szCs w:val="22"/>
              </w:rPr>
            </w:pPr>
            <w:r w:rsidRPr="00050278">
              <w:rPr>
                <w:rFonts w:asciiTheme="minorHAnsi" w:hAnsiTheme="minorHAnsi" w:cstheme="minorHAnsi"/>
                <w:color w:val="000000"/>
                <w:sz w:val="22"/>
                <w:szCs w:val="22"/>
              </w:rPr>
              <w:t>Število</w:t>
            </w:r>
          </w:p>
        </w:tc>
      </w:tr>
      <w:tr w:rsidR="00690789" w:rsidRPr="00050278" w:rsidTr="00493C9F">
        <w:trPr>
          <w:trHeight w:val="276"/>
        </w:trPr>
        <w:tc>
          <w:tcPr>
            <w:tcW w:w="4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t>Cilj 1.1: Ustvariti kakovostna delovna mesta</w:t>
            </w: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novo ustvarjenih delovnih mest</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300"/>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usposobljenih nosilcev dejavnosti</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t>Cilj 1.2: Krepiti pogoje za rast malih ponudnikov v perspektivnih dejavnostih</w:t>
            </w: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novih produktov ali storitev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usposobljenih nosilcev dejavnosti</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vzpostavljenih partnerstev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lastRenderedPageBreak/>
              <w:t>Cilj 2.1: Aktivirati potenciale za revitalizacijo podeželja</w:t>
            </w: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novih programov ali storitev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jc w:val="cente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vključenih proizvajalcev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p>
        </w:tc>
      </w:tr>
      <w:tr w:rsidR="00690789" w:rsidRPr="00050278" w:rsidTr="00493C9F">
        <w:trPr>
          <w:trHeight w:val="276"/>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vključenih prebivalcev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t xml:space="preserve">Cilj 3.1: Izboljšati stanje okolja za večjo kakovost življenja in dela </w:t>
            </w: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vključenih v aktivnosti ozaveščanja</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300"/>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xml:space="preserve">Št. izvedenih ukrepov </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300"/>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novih okoljskih rešitev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t>Cilj 3.2: Ohranjanje narave in biotske raznovrstnosti za trajnostni razvoj območja LAS</w:t>
            </w: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izvedenih ukrepov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88"/>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novih vsebin in programov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300"/>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vključenih v aktivnosti ozaveščanja</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t xml:space="preserve">Cilj 4.1: Izboljšati pogoje za vključenost ranljivih ciljnih skupin v družbo </w:t>
            </w: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izboljšanih ali novih programov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1</w:t>
            </w:r>
          </w:p>
        </w:tc>
      </w:tr>
      <w:tr w:rsidR="00690789" w:rsidRPr="00050278" w:rsidTr="00493C9F">
        <w:trPr>
          <w:trHeight w:val="276"/>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vključenih iz ranljivih skupin</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25</w:t>
            </w:r>
          </w:p>
        </w:tc>
      </w:tr>
      <w:tr w:rsidR="00690789" w:rsidRPr="00050278" w:rsidTr="00493C9F">
        <w:trPr>
          <w:trHeight w:val="276"/>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vzpostavljenih partnerstev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jc w:val="center"/>
              <w:rPr>
                <w:rFonts w:asciiTheme="minorHAnsi" w:hAnsiTheme="minorHAnsi" w:cstheme="minorHAnsi"/>
                <w:color w:val="000000"/>
                <w:sz w:val="22"/>
                <w:szCs w:val="22"/>
              </w:rPr>
            </w:pPr>
            <w:r w:rsidRPr="00050278">
              <w:rPr>
                <w:rFonts w:asciiTheme="minorHAnsi" w:hAnsiTheme="minorHAnsi" w:cstheme="minorHAnsi"/>
                <w:color w:val="000000"/>
                <w:sz w:val="22"/>
                <w:szCs w:val="22"/>
              </w:rPr>
              <w:t>Cilj 4.2: Krepitev zdravega življenjskega sloga prebivalcev</w:t>
            </w: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neposredno vključenih v nove programe</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r w:rsidR="00690789" w:rsidRPr="00050278" w:rsidTr="00493C9F">
        <w:trPr>
          <w:trHeight w:val="276"/>
        </w:trPr>
        <w:tc>
          <w:tcPr>
            <w:tcW w:w="40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690789" w:rsidRPr="00050278" w:rsidRDefault="00690789" w:rsidP="00493C9F">
            <w:pPr>
              <w:rPr>
                <w:rFonts w:asciiTheme="minorHAnsi" w:hAnsiTheme="minorHAnsi" w:cstheme="minorHAnsi"/>
                <w:color w:val="000000"/>
                <w:sz w:val="22"/>
                <w:szCs w:val="22"/>
              </w:rPr>
            </w:pPr>
          </w:p>
        </w:tc>
        <w:tc>
          <w:tcPr>
            <w:tcW w:w="4060" w:type="dxa"/>
            <w:tcBorders>
              <w:top w:val="single" w:sz="4" w:space="0" w:color="00000A"/>
              <w:left w:val="single" w:sz="4" w:space="0" w:color="00000A"/>
              <w:bottom w:val="single" w:sz="4" w:space="0" w:color="00000A"/>
              <w:right w:val="single" w:sz="4" w:space="0" w:color="00000A"/>
            </w:tcBorders>
            <w:shd w:val="clear" w:color="auto" w:fill="auto"/>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Št. novih ali izboljšanih programov</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690789" w:rsidRPr="00050278" w:rsidRDefault="00690789" w:rsidP="00493C9F">
            <w:pPr>
              <w:rPr>
                <w:rFonts w:asciiTheme="minorHAnsi" w:hAnsiTheme="minorHAnsi" w:cstheme="minorHAnsi"/>
                <w:color w:val="000000"/>
                <w:sz w:val="22"/>
                <w:szCs w:val="22"/>
              </w:rPr>
            </w:pPr>
            <w:r w:rsidRPr="00050278">
              <w:rPr>
                <w:rFonts w:asciiTheme="minorHAnsi" w:hAnsiTheme="minorHAnsi" w:cstheme="minorHAnsi"/>
                <w:color w:val="000000"/>
                <w:sz w:val="22"/>
                <w:szCs w:val="22"/>
              </w:rPr>
              <w:t> </w:t>
            </w:r>
          </w:p>
        </w:tc>
      </w:tr>
    </w:tbl>
    <w:p w:rsidR="006050E3" w:rsidRPr="00050278" w:rsidRDefault="006050E3" w:rsidP="006050E3">
      <w:pPr>
        <w:widowControl w:val="0"/>
        <w:autoSpaceDE w:val="0"/>
        <w:autoSpaceDN w:val="0"/>
        <w:adjustRightInd w:val="0"/>
        <w:spacing w:after="0" w:line="240" w:lineRule="auto"/>
        <w:jc w:val="both"/>
        <w:rPr>
          <w:rFonts w:asciiTheme="minorHAnsi" w:hAnsiTheme="minorHAnsi" w:cstheme="minorHAnsi"/>
          <w:b/>
          <w:bCs/>
          <w:sz w:val="22"/>
          <w:szCs w:val="22"/>
        </w:rPr>
      </w:pPr>
    </w:p>
    <w:p w:rsidR="006050E3" w:rsidRPr="00050278" w:rsidRDefault="00EE17CD" w:rsidP="006050E3">
      <w:pPr>
        <w:widowControl w:val="0"/>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theme="minorHAnsi"/>
          <w:b/>
          <w:bCs/>
          <w:sz w:val="22"/>
          <w:szCs w:val="22"/>
        </w:rPr>
        <w:t xml:space="preserve">GLAVNE AKTIVNOSTI OPERACIJE: </w:t>
      </w:r>
    </w:p>
    <w:p w:rsidR="00EE17CD" w:rsidRPr="00050278" w:rsidRDefault="00EE17CD" w:rsidP="006050E3">
      <w:pPr>
        <w:widowControl w:val="0"/>
        <w:autoSpaceDE w:val="0"/>
        <w:autoSpaceDN w:val="0"/>
        <w:adjustRightInd w:val="0"/>
        <w:spacing w:after="0" w:line="240" w:lineRule="auto"/>
        <w:jc w:val="both"/>
        <w:rPr>
          <w:rFonts w:asciiTheme="minorHAnsi" w:hAnsiTheme="minorHAnsi" w:cstheme="minorHAnsi"/>
          <w:b/>
          <w:bCs/>
          <w:sz w:val="22"/>
          <w:szCs w:val="22"/>
        </w:rPr>
      </w:pPr>
    </w:p>
    <w:p w:rsidR="00EE17CD" w:rsidRPr="00050278" w:rsidRDefault="00EE17CD" w:rsidP="006050E3">
      <w:pPr>
        <w:widowControl w:val="0"/>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theme="minorHAnsi"/>
          <w:b/>
          <w:bCs/>
          <w:sz w:val="22"/>
          <w:szCs w:val="22"/>
        </w:rPr>
        <w:t xml:space="preserve">- 1. faza: </w:t>
      </w:r>
    </w:p>
    <w:p w:rsidR="00EE17CD" w:rsidRPr="00050278" w:rsidRDefault="00EE17CD" w:rsidP="00A919CF">
      <w:pPr>
        <w:pStyle w:val="Odstavekseznama"/>
        <w:numPr>
          <w:ilvl w:val="0"/>
          <w:numId w:val="24"/>
        </w:numPr>
        <w:spacing w:after="0"/>
        <w:rPr>
          <w:rFonts w:asciiTheme="minorHAnsi" w:hAnsiTheme="minorHAnsi"/>
          <w:sz w:val="22"/>
          <w:szCs w:val="22"/>
        </w:rPr>
      </w:pPr>
      <w:r w:rsidRPr="00050278">
        <w:rPr>
          <w:rFonts w:asciiTheme="minorHAnsi" w:hAnsiTheme="minorHAnsi" w:cstheme="minorHAnsi"/>
          <w:color w:val="000000"/>
          <w:sz w:val="22"/>
          <w:szCs w:val="22"/>
        </w:rPr>
        <w:t>Vodenje projekta</w:t>
      </w:r>
    </w:p>
    <w:p w:rsidR="00EE17CD" w:rsidRPr="00050278" w:rsidRDefault="00EE17CD" w:rsidP="00A919CF">
      <w:pPr>
        <w:pStyle w:val="Odstavekseznama"/>
        <w:numPr>
          <w:ilvl w:val="0"/>
          <w:numId w:val="24"/>
        </w:numPr>
        <w:spacing w:after="0"/>
        <w:rPr>
          <w:rFonts w:asciiTheme="minorHAnsi" w:hAnsiTheme="minorHAnsi" w:cstheme="minorHAnsi"/>
          <w:color w:val="000000"/>
          <w:sz w:val="22"/>
          <w:szCs w:val="22"/>
        </w:rPr>
      </w:pPr>
      <w:r w:rsidRPr="00050278">
        <w:rPr>
          <w:rFonts w:asciiTheme="minorHAnsi" w:hAnsiTheme="minorHAnsi" w:cstheme="minorHAnsi"/>
          <w:color w:val="000000"/>
          <w:sz w:val="22"/>
          <w:szCs w:val="22"/>
        </w:rPr>
        <w:t>Promocija projekta</w:t>
      </w:r>
    </w:p>
    <w:p w:rsidR="00EE17CD" w:rsidRPr="00050278" w:rsidRDefault="00EE17CD" w:rsidP="00A919CF">
      <w:pPr>
        <w:pStyle w:val="Odstavekseznama"/>
        <w:numPr>
          <w:ilvl w:val="0"/>
          <w:numId w:val="24"/>
        </w:numPr>
        <w:spacing w:after="0"/>
        <w:rPr>
          <w:rFonts w:asciiTheme="minorHAnsi" w:hAnsiTheme="minorHAnsi"/>
          <w:sz w:val="22"/>
          <w:szCs w:val="22"/>
        </w:rPr>
      </w:pPr>
      <w:r w:rsidRPr="00050278">
        <w:rPr>
          <w:rFonts w:asciiTheme="minorHAnsi" w:hAnsiTheme="minorHAnsi"/>
          <w:sz w:val="22"/>
          <w:szCs w:val="22"/>
        </w:rPr>
        <w:t>Priprava programa usposabljanja za prostovoljce</w:t>
      </w:r>
    </w:p>
    <w:p w:rsidR="00EE17CD" w:rsidRPr="00050278" w:rsidRDefault="00EE17CD" w:rsidP="00A919CF">
      <w:pPr>
        <w:pStyle w:val="Odstavekseznama"/>
        <w:numPr>
          <w:ilvl w:val="0"/>
          <w:numId w:val="24"/>
        </w:numPr>
        <w:spacing w:after="0"/>
        <w:rPr>
          <w:rFonts w:asciiTheme="minorHAnsi" w:hAnsiTheme="minorHAnsi"/>
          <w:sz w:val="22"/>
          <w:szCs w:val="22"/>
        </w:rPr>
      </w:pPr>
      <w:r w:rsidRPr="00050278">
        <w:rPr>
          <w:rFonts w:asciiTheme="minorHAnsi" w:hAnsiTheme="minorHAnsi"/>
          <w:sz w:val="22"/>
          <w:szCs w:val="22"/>
        </w:rPr>
        <w:t>Izvedba usposabljanj za prostovoljce</w:t>
      </w:r>
    </w:p>
    <w:p w:rsidR="00EE17CD" w:rsidRPr="00050278" w:rsidRDefault="00EE17CD" w:rsidP="00A919CF">
      <w:pPr>
        <w:pStyle w:val="Odstavekseznama"/>
        <w:numPr>
          <w:ilvl w:val="0"/>
          <w:numId w:val="24"/>
        </w:numPr>
        <w:spacing w:after="0"/>
        <w:rPr>
          <w:rFonts w:asciiTheme="minorHAnsi" w:hAnsiTheme="minorHAnsi" w:cstheme="minorHAnsi"/>
          <w:color w:val="000000"/>
          <w:sz w:val="22"/>
          <w:szCs w:val="22"/>
        </w:rPr>
      </w:pPr>
      <w:r w:rsidRPr="00050278">
        <w:rPr>
          <w:rFonts w:asciiTheme="minorHAnsi" w:hAnsiTheme="minorHAnsi" w:cstheme="minorHAnsi"/>
          <w:color w:val="000000"/>
          <w:sz w:val="22"/>
          <w:szCs w:val="22"/>
        </w:rPr>
        <w:t>Nakup avtomobila</w:t>
      </w:r>
    </w:p>
    <w:p w:rsidR="00EE17CD" w:rsidRPr="00050278" w:rsidRDefault="00EE17CD" w:rsidP="00A919CF">
      <w:pPr>
        <w:pStyle w:val="Odstavekseznama"/>
        <w:numPr>
          <w:ilvl w:val="0"/>
          <w:numId w:val="24"/>
        </w:numPr>
        <w:spacing w:after="0"/>
        <w:rPr>
          <w:rFonts w:asciiTheme="minorHAnsi" w:hAnsiTheme="minorHAnsi" w:cstheme="minorHAnsi"/>
          <w:color w:val="000000"/>
          <w:sz w:val="22"/>
          <w:szCs w:val="22"/>
        </w:rPr>
      </w:pPr>
      <w:r w:rsidRPr="00050278">
        <w:rPr>
          <w:rFonts w:asciiTheme="minorHAnsi" w:hAnsiTheme="minorHAnsi" w:cstheme="minorHAnsi"/>
          <w:color w:val="000000"/>
          <w:sz w:val="22"/>
          <w:szCs w:val="22"/>
        </w:rPr>
        <w:t>Nakup opreme</w:t>
      </w:r>
    </w:p>
    <w:p w:rsidR="00A919CF" w:rsidRPr="00050278" w:rsidRDefault="00EE17CD" w:rsidP="00A919CF">
      <w:pPr>
        <w:pStyle w:val="Odstavekseznama"/>
        <w:widowControl w:val="0"/>
        <w:numPr>
          <w:ilvl w:val="0"/>
          <w:numId w:val="23"/>
        </w:numPr>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theme="minorHAnsi"/>
          <w:color w:val="000000"/>
          <w:sz w:val="22"/>
          <w:szCs w:val="22"/>
        </w:rPr>
        <w:t>Izvedba dogodkov in delavnic</w:t>
      </w:r>
    </w:p>
    <w:p w:rsidR="00A919CF" w:rsidRPr="00050278" w:rsidRDefault="00A919CF" w:rsidP="00A919CF">
      <w:pPr>
        <w:pStyle w:val="Odstavekseznama"/>
        <w:widowControl w:val="0"/>
        <w:numPr>
          <w:ilvl w:val="0"/>
          <w:numId w:val="23"/>
        </w:numPr>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theme="minorHAnsi"/>
          <w:color w:val="000000"/>
          <w:sz w:val="22"/>
          <w:szCs w:val="22"/>
        </w:rPr>
        <w:t>Evalvacija projekta</w:t>
      </w:r>
    </w:p>
    <w:p w:rsidR="00A919CF" w:rsidRPr="00050278" w:rsidRDefault="00A919CF" w:rsidP="00A919CF">
      <w:pPr>
        <w:pStyle w:val="Odstavekseznama"/>
        <w:widowControl w:val="0"/>
        <w:numPr>
          <w:ilvl w:val="0"/>
          <w:numId w:val="23"/>
        </w:numPr>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Arial"/>
          <w:color w:val="000000"/>
          <w:sz w:val="22"/>
          <w:szCs w:val="22"/>
        </w:rPr>
        <w:t>Sistematično iskanje in novačenje potencialnih uporabnikov in prostovoljce</w:t>
      </w:r>
    </w:p>
    <w:p w:rsidR="00A919CF" w:rsidRPr="00050278" w:rsidRDefault="00A919CF" w:rsidP="00A919CF">
      <w:pPr>
        <w:pStyle w:val="Odstavekseznama"/>
        <w:widowControl w:val="0"/>
        <w:numPr>
          <w:ilvl w:val="0"/>
          <w:numId w:val="23"/>
        </w:numPr>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Arial"/>
          <w:color w:val="000000"/>
          <w:sz w:val="22"/>
          <w:szCs w:val="22"/>
        </w:rPr>
        <w:t>Organizacijsko delo v centru za starejše</w:t>
      </w:r>
    </w:p>
    <w:p w:rsidR="00A919CF" w:rsidRPr="00050278" w:rsidRDefault="00A919CF" w:rsidP="00A919CF">
      <w:pPr>
        <w:pStyle w:val="Odstavekseznama"/>
        <w:widowControl w:val="0"/>
        <w:numPr>
          <w:ilvl w:val="0"/>
          <w:numId w:val="23"/>
        </w:numPr>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Arial"/>
          <w:color w:val="000000"/>
          <w:sz w:val="22"/>
          <w:szCs w:val="22"/>
        </w:rPr>
        <w:t>Zagotavljanje dežurne prisotnosti za brezplačne prevoze</w:t>
      </w:r>
    </w:p>
    <w:p w:rsidR="00F26AEC" w:rsidRPr="00050278" w:rsidRDefault="00A919CF" w:rsidP="00BE0B5A">
      <w:pPr>
        <w:pStyle w:val="Odstavekseznama"/>
        <w:widowControl w:val="0"/>
        <w:numPr>
          <w:ilvl w:val="0"/>
          <w:numId w:val="23"/>
        </w:numPr>
        <w:autoSpaceDE w:val="0"/>
        <w:autoSpaceDN w:val="0"/>
        <w:adjustRightInd w:val="0"/>
        <w:spacing w:after="0" w:line="240" w:lineRule="auto"/>
        <w:jc w:val="both"/>
        <w:rPr>
          <w:rFonts w:asciiTheme="minorHAnsi" w:hAnsiTheme="minorHAnsi" w:cstheme="minorHAnsi"/>
          <w:b/>
          <w:bCs/>
          <w:sz w:val="22"/>
          <w:szCs w:val="22"/>
        </w:rPr>
      </w:pPr>
      <w:r w:rsidRPr="00050278">
        <w:rPr>
          <w:rFonts w:asciiTheme="minorHAnsi" w:hAnsiTheme="minorHAnsi" w:cstheme="minorHAnsi"/>
          <w:color w:val="000000"/>
          <w:sz w:val="22"/>
          <w:szCs w:val="22"/>
        </w:rPr>
        <w:t> </w:t>
      </w:r>
      <w:r w:rsidRPr="00050278">
        <w:rPr>
          <w:rFonts w:asciiTheme="minorHAnsi" w:hAnsiTheme="minorHAnsi" w:cs="Arial"/>
          <w:color w:val="000000"/>
          <w:sz w:val="22"/>
          <w:szCs w:val="22"/>
        </w:rPr>
        <w:t>Promocija projekta med svojimi člani</w:t>
      </w:r>
    </w:p>
    <w:sectPr w:rsidR="00F26AEC" w:rsidRPr="00050278" w:rsidSect="006050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E1" w:rsidRDefault="00DD20E1" w:rsidP="00DD20E1">
      <w:pPr>
        <w:spacing w:after="0" w:line="240" w:lineRule="auto"/>
      </w:pPr>
      <w:r>
        <w:separator/>
      </w:r>
    </w:p>
  </w:endnote>
  <w:endnote w:type="continuationSeparator" w:id="0">
    <w:p w:rsidR="00DD20E1" w:rsidRDefault="00DD20E1"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75973"/>
      <w:docPartObj>
        <w:docPartGallery w:val="Page Numbers (Bottom of Page)"/>
        <w:docPartUnique/>
      </w:docPartObj>
    </w:sdtPr>
    <w:sdtEndPr/>
    <w:sdtContent>
      <w:sdt>
        <w:sdtPr>
          <w:id w:val="-1312159446"/>
          <w:docPartObj>
            <w:docPartGallery w:val="Page Numbers (Top of Page)"/>
            <w:docPartUnique/>
          </w:docPartObj>
        </w:sdtPr>
        <w:sdtEndPr/>
        <w:sdtContent>
          <w:p w:rsidR="0076338F" w:rsidRDefault="0076338F">
            <w:pPr>
              <w:pStyle w:val="Noga"/>
              <w:jc w:val="center"/>
            </w:pPr>
            <w:r>
              <w:t xml:space="preserve">Stran </w:t>
            </w:r>
            <w:r>
              <w:rPr>
                <w:b/>
                <w:bCs/>
              </w:rPr>
              <w:fldChar w:fldCharType="begin"/>
            </w:r>
            <w:r>
              <w:rPr>
                <w:b/>
                <w:bCs/>
              </w:rPr>
              <w:instrText>PAGE</w:instrText>
            </w:r>
            <w:r>
              <w:rPr>
                <w:b/>
                <w:bCs/>
              </w:rPr>
              <w:fldChar w:fldCharType="separate"/>
            </w:r>
            <w:r w:rsidR="00F53E71">
              <w:rPr>
                <w:b/>
                <w:bCs/>
                <w:noProof/>
              </w:rPr>
              <w:t>3</w:t>
            </w:r>
            <w:r>
              <w:rPr>
                <w:b/>
                <w:bCs/>
              </w:rPr>
              <w:fldChar w:fldCharType="end"/>
            </w:r>
            <w:r>
              <w:t xml:space="preserve"> od </w:t>
            </w:r>
            <w:r>
              <w:rPr>
                <w:b/>
                <w:bCs/>
              </w:rPr>
              <w:fldChar w:fldCharType="begin"/>
            </w:r>
            <w:r>
              <w:rPr>
                <w:b/>
                <w:bCs/>
              </w:rPr>
              <w:instrText>NUMPAGES</w:instrText>
            </w:r>
            <w:r>
              <w:rPr>
                <w:b/>
                <w:bCs/>
              </w:rPr>
              <w:fldChar w:fldCharType="separate"/>
            </w:r>
            <w:r w:rsidR="00F53E71">
              <w:rPr>
                <w:b/>
                <w:bCs/>
                <w:noProof/>
              </w:rPr>
              <w:t>3</w:t>
            </w:r>
            <w:r>
              <w:rPr>
                <w:b/>
                <w:bCs/>
              </w:rPr>
              <w:fldChar w:fldCharType="end"/>
            </w:r>
          </w:p>
        </w:sdtContent>
      </w:sdt>
    </w:sdtContent>
  </w:sdt>
  <w:p w:rsidR="005330A1" w:rsidRPr="005330A1" w:rsidRDefault="00D8347E" w:rsidP="00D8347E">
    <w:pPr>
      <w:tabs>
        <w:tab w:val="left" w:pos="3420"/>
      </w:tabs>
      <w:spacing w:after="0" w:line="240" w:lineRule="auto"/>
      <w:rPr>
        <w:rFonts w:ascii="Times New Roman" w:hAnsi="Times New Roman" w:cs="Arial"/>
        <w:szCs w:val="22"/>
      </w:rPr>
    </w:pPr>
    <w:bookmarkStart w:id="6" w:name="_Hlk517089744"/>
    <w:r w:rsidRPr="005330A1">
      <w:rPr>
        <w:rFonts w:ascii="Times New Roman" w:hAnsi="Times New Roman" w:cs="Arial"/>
        <w:noProof/>
        <w:szCs w:val="22"/>
        <w:lang w:eastAsia="sl-SI"/>
      </w:rPr>
      <w:drawing>
        <wp:inline distT="0" distB="0" distL="0" distR="0" wp14:anchorId="6C3F8146" wp14:editId="5B4F3A09">
          <wp:extent cx="2486025" cy="647700"/>
          <wp:effectExtent l="0" t="0" r="9525"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783" cy="684633"/>
                  </a:xfrm>
                  <a:prstGeom prst="rect">
                    <a:avLst/>
                  </a:prstGeom>
                  <a:noFill/>
                </pic:spPr>
              </pic:pic>
            </a:graphicData>
          </a:graphic>
        </wp:inline>
      </w:drawing>
    </w:r>
    <w:r w:rsidR="005330A1" w:rsidRPr="005330A1">
      <w:rPr>
        <w:rFonts w:ascii="Times New Roman" w:hAnsi="Times New Roman" w:cs="Arial"/>
        <w:noProof/>
        <w:szCs w:val="22"/>
        <w:lang w:eastAsia="sl-SI"/>
      </w:rPr>
      <w:drawing>
        <wp:inline distT="0" distB="0" distL="0" distR="0" wp14:anchorId="097262C9" wp14:editId="044461A2">
          <wp:extent cx="1657350" cy="542925"/>
          <wp:effectExtent l="0" t="0" r="0"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341" cy="573060"/>
                  </a:xfrm>
                  <a:prstGeom prst="rect">
                    <a:avLst/>
                  </a:prstGeom>
                  <a:noFill/>
                </pic:spPr>
              </pic:pic>
            </a:graphicData>
          </a:graphic>
        </wp:inline>
      </w:drawing>
    </w:r>
    <w:r w:rsidRPr="005330A1">
      <w:rPr>
        <w:rFonts w:ascii="Times New Roman" w:hAnsi="Times New Roman" w:cs="Arial"/>
        <w:noProof/>
        <w:szCs w:val="22"/>
        <w:lang w:eastAsia="sl-SI"/>
      </w:rPr>
      <w:drawing>
        <wp:inline distT="0" distB="0" distL="0" distR="0" wp14:anchorId="2B868572" wp14:editId="62BA24AD">
          <wp:extent cx="1552575" cy="712236"/>
          <wp:effectExtent l="0" t="0" r="0" b="0"/>
          <wp:docPr id="47" name="Slika 47" descr="C:\Users\manuelab\AppData\Local\Microsoft\Windows\Temporary Internet Files\Content.Outlook\6VU8UWON\Logo_ESR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ab\AppData\Local\Microsoft\Windows\Temporary Internet Files\Content.Outlook\6VU8UWON\Logo_ESRR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023" cy="783547"/>
                  </a:xfrm>
                  <a:prstGeom prst="rect">
                    <a:avLst/>
                  </a:prstGeom>
                  <a:noFill/>
                  <a:ln>
                    <a:noFill/>
                  </a:ln>
                </pic:spPr>
              </pic:pic>
            </a:graphicData>
          </a:graphic>
        </wp:inline>
      </w:drawing>
    </w:r>
  </w:p>
  <w:bookmarkEnd w:id="6"/>
  <w:p w:rsidR="0076338F" w:rsidRDefault="007633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E1" w:rsidRDefault="00DD20E1" w:rsidP="00DD20E1">
      <w:pPr>
        <w:spacing w:after="0" w:line="240" w:lineRule="auto"/>
      </w:pPr>
      <w:bookmarkStart w:id="0" w:name="_Hlk480532888"/>
      <w:bookmarkEnd w:id="0"/>
      <w:r>
        <w:separator/>
      </w:r>
    </w:p>
  </w:footnote>
  <w:footnote w:type="continuationSeparator" w:id="0">
    <w:p w:rsidR="00DD20E1" w:rsidRDefault="00DD20E1"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E1" w:rsidRPr="005330A1" w:rsidRDefault="005330A1" w:rsidP="000729C6">
    <w:pPr>
      <w:tabs>
        <w:tab w:val="center" w:pos="4536"/>
        <w:tab w:val="right" w:pos="9072"/>
      </w:tabs>
      <w:spacing w:after="0" w:line="240" w:lineRule="auto"/>
      <w:jc w:val="center"/>
      <w:rPr>
        <w:rFonts w:ascii="Times New Roman" w:hAnsi="Times New Roman" w:cs="Arial"/>
        <w:noProof/>
        <w:szCs w:val="22"/>
        <w:lang w:eastAsia="sl-SI"/>
      </w:rPr>
    </w:pPr>
    <w:bookmarkStart w:id="2" w:name="_Hlk517089731"/>
    <w:bookmarkStart w:id="3" w:name="_Hlk517089732"/>
    <w:bookmarkStart w:id="4" w:name="_Hlk517089733"/>
    <w:bookmarkStart w:id="5" w:name="_Hlk517089734"/>
    <w:r w:rsidRPr="005330A1">
      <w:rPr>
        <w:rFonts w:ascii="Times New Roman" w:hAnsi="Times New Roman" w:cs="Arial"/>
        <w:noProof/>
        <w:szCs w:val="22"/>
        <w:lang w:eastAsia="sl-SI"/>
      </w:rPr>
      <w:drawing>
        <wp:inline distT="0" distB="0" distL="0" distR="0" wp14:anchorId="3D82D23D" wp14:editId="5EC85509">
          <wp:extent cx="770890" cy="866775"/>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a:stretch>
                    <a:fillRect/>
                  </a:stretch>
                </pic:blipFill>
                <pic:spPr>
                  <a:xfrm>
                    <a:off x="0" y="0"/>
                    <a:ext cx="782154" cy="879440"/>
                  </a:xfrm>
                  <a:prstGeom prst="rect">
                    <a:avLst/>
                  </a:prstGeom>
                </pic:spPr>
              </pic:pic>
            </a:graphicData>
          </a:graphic>
        </wp:inline>
      </w:drawing>
    </w:r>
    <w:r w:rsidR="00D451E5" w:rsidRPr="005330A1">
      <w:rPr>
        <w:rFonts w:ascii="Times New Roman" w:hAnsi="Times New Roman" w:cs="Arial"/>
        <w:noProof/>
        <w:szCs w:val="22"/>
        <w:lang w:eastAsia="sl-SI"/>
      </w:rPr>
      <w:drawing>
        <wp:inline distT="0" distB="0" distL="0" distR="0" wp14:anchorId="4673232B" wp14:editId="4A190DD9">
          <wp:extent cx="2636314" cy="713740"/>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181" cy="752690"/>
                  </a:xfrm>
                  <a:prstGeom prst="rect">
                    <a:avLst/>
                  </a:prstGeom>
                  <a:noFill/>
                </pic:spPr>
              </pic:pic>
            </a:graphicData>
          </a:graphic>
        </wp:inline>
      </w:drawing>
    </w:r>
    <w:r w:rsidR="005D286D">
      <w:rPr>
        <w:rFonts w:ascii="Times New Roman" w:hAnsi="Times New Roman" w:cs="Arial"/>
        <w:noProof/>
        <w:szCs w:val="22"/>
        <w:lang w:eastAsia="sl-SI"/>
      </w:rPr>
      <w:t xml:space="preserve">  </w:t>
    </w:r>
    <w:r w:rsidR="00D451E5" w:rsidRPr="005330A1">
      <w:rPr>
        <w:rFonts w:ascii="Times New Roman" w:hAnsi="Times New Roman" w:cs="Arial"/>
        <w:noProof/>
        <w:szCs w:val="22"/>
        <w:lang w:eastAsia="sl-SI"/>
      </w:rPr>
      <w:drawing>
        <wp:inline distT="0" distB="0" distL="0" distR="0" wp14:anchorId="3E3526E2" wp14:editId="182178E8">
          <wp:extent cx="1866900" cy="575945"/>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0692" cy="586370"/>
                  </a:xfrm>
                  <a:prstGeom prst="rect">
                    <a:avLst/>
                  </a:prstGeom>
                  <a:noFill/>
                </pic:spPr>
              </pic:pic>
            </a:graphicData>
          </a:graphic>
        </wp:inline>
      </w:drawing>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7A2C91"/>
    <w:multiLevelType w:val="multilevel"/>
    <w:tmpl w:val="EF3088F2"/>
    <w:lvl w:ilvl="0">
      <w:start w:val="30"/>
      <w:numFmt w:val="bullet"/>
      <w:lvlText w:val="-"/>
      <w:lvlJc w:val="left"/>
      <w:pPr>
        <w:ind w:left="720" w:hanging="360"/>
      </w:pPr>
      <w:rPr>
        <w:rFonts w:ascii="Calibri" w:hAnsi="Calibri"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CE7DB1"/>
    <w:multiLevelType w:val="hybridMultilevel"/>
    <w:tmpl w:val="A044ECE8"/>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20D0C"/>
    <w:multiLevelType w:val="hybridMultilevel"/>
    <w:tmpl w:val="A5368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AB3C99"/>
    <w:multiLevelType w:val="hybridMultilevel"/>
    <w:tmpl w:val="23664528"/>
    <w:lvl w:ilvl="0" w:tplc="74289E14">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F6207A"/>
    <w:multiLevelType w:val="hybridMultilevel"/>
    <w:tmpl w:val="26F27206"/>
    <w:lvl w:ilvl="0" w:tplc="9D9A94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9755C5"/>
    <w:multiLevelType w:val="hybridMultilevel"/>
    <w:tmpl w:val="58F6478C"/>
    <w:lvl w:ilvl="0" w:tplc="2BF82F70">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014D0C"/>
    <w:multiLevelType w:val="hybridMultilevel"/>
    <w:tmpl w:val="A5564C8A"/>
    <w:lvl w:ilvl="0" w:tplc="B72CC72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035F78"/>
    <w:multiLevelType w:val="hybridMultilevel"/>
    <w:tmpl w:val="ACF01EA0"/>
    <w:lvl w:ilvl="0" w:tplc="0D4EC56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253B39"/>
    <w:multiLevelType w:val="hybridMultilevel"/>
    <w:tmpl w:val="0DAC017A"/>
    <w:lvl w:ilvl="0" w:tplc="49CEC02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6" w15:restartNumberingAfterBreak="0">
    <w:nsid w:val="59D10152"/>
    <w:multiLevelType w:val="hybridMultilevel"/>
    <w:tmpl w:val="B2643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106235"/>
    <w:multiLevelType w:val="hybridMultilevel"/>
    <w:tmpl w:val="3938A858"/>
    <w:lvl w:ilvl="0" w:tplc="B8DA028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435B22"/>
    <w:multiLevelType w:val="hybridMultilevel"/>
    <w:tmpl w:val="5FF0E2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BA606F0"/>
    <w:multiLevelType w:val="hybridMultilevel"/>
    <w:tmpl w:val="C51E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87F8F"/>
    <w:multiLevelType w:val="hybridMultilevel"/>
    <w:tmpl w:val="B16638C6"/>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547E08"/>
    <w:multiLevelType w:val="hybridMultilevel"/>
    <w:tmpl w:val="1722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2"/>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1"/>
  </w:num>
  <w:num w:numId="14">
    <w:abstractNumId w:val="19"/>
  </w:num>
  <w:num w:numId="15">
    <w:abstractNumId w:val="16"/>
  </w:num>
  <w:num w:numId="16">
    <w:abstractNumId w:val="17"/>
  </w:num>
  <w:num w:numId="17">
    <w:abstractNumId w:val="11"/>
  </w:num>
  <w:num w:numId="18">
    <w:abstractNumId w:val="7"/>
  </w:num>
  <w:num w:numId="19">
    <w:abstractNumId w:val="14"/>
  </w:num>
  <w:num w:numId="20">
    <w:abstractNumId w:val="8"/>
  </w:num>
  <w:num w:numId="21">
    <w:abstractNumId w:val="10"/>
  </w:num>
  <w:num w:numId="22">
    <w:abstractNumId w:val="1"/>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02"/>
    <w:rsid w:val="00003FE2"/>
    <w:rsid w:val="00012352"/>
    <w:rsid w:val="0002162A"/>
    <w:rsid w:val="00050278"/>
    <w:rsid w:val="00052368"/>
    <w:rsid w:val="000536C5"/>
    <w:rsid w:val="00061FBB"/>
    <w:rsid w:val="000729C6"/>
    <w:rsid w:val="000D3C10"/>
    <w:rsid w:val="000F1C05"/>
    <w:rsid w:val="00105991"/>
    <w:rsid w:val="001208C2"/>
    <w:rsid w:val="00132E33"/>
    <w:rsid w:val="00146459"/>
    <w:rsid w:val="001653DC"/>
    <w:rsid w:val="001D724F"/>
    <w:rsid w:val="001E07A8"/>
    <w:rsid w:val="001E5019"/>
    <w:rsid w:val="00215026"/>
    <w:rsid w:val="0022499D"/>
    <w:rsid w:val="00225ACF"/>
    <w:rsid w:val="00257B5F"/>
    <w:rsid w:val="002731F6"/>
    <w:rsid w:val="0029091A"/>
    <w:rsid w:val="002A7529"/>
    <w:rsid w:val="002A7F9E"/>
    <w:rsid w:val="002C25C0"/>
    <w:rsid w:val="00345568"/>
    <w:rsid w:val="00391346"/>
    <w:rsid w:val="00394D0F"/>
    <w:rsid w:val="003C3440"/>
    <w:rsid w:val="003F4361"/>
    <w:rsid w:val="004160B4"/>
    <w:rsid w:val="00435F09"/>
    <w:rsid w:val="00443836"/>
    <w:rsid w:val="004536A0"/>
    <w:rsid w:val="0047573E"/>
    <w:rsid w:val="00484BB6"/>
    <w:rsid w:val="004D0652"/>
    <w:rsid w:val="005009C6"/>
    <w:rsid w:val="00515102"/>
    <w:rsid w:val="005330A1"/>
    <w:rsid w:val="0058530B"/>
    <w:rsid w:val="005A6795"/>
    <w:rsid w:val="005B3225"/>
    <w:rsid w:val="005C6DF2"/>
    <w:rsid w:val="005D286D"/>
    <w:rsid w:val="005D3342"/>
    <w:rsid w:val="005E166F"/>
    <w:rsid w:val="005E20D4"/>
    <w:rsid w:val="005F3828"/>
    <w:rsid w:val="006050E3"/>
    <w:rsid w:val="00611218"/>
    <w:rsid w:val="00640F2C"/>
    <w:rsid w:val="006619B9"/>
    <w:rsid w:val="00690789"/>
    <w:rsid w:val="006C217C"/>
    <w:rsid w:val="006D5B4E"/>
    <w:rsid w:val="006F1F50"/>
    <w:rsid w:val="006F7C58"/>
    <w:rsid w:val="00712BD9"/>
    <w:rsid w:val="0076338F"/>
    <w:rsid w:val="007B4298"/>
    <w:rsid w:val="007E3506"/>
    <w:rsid w:val="0083385F"/>
    <w:rsid w:val="00881561"/>
    <w:rsid w:val="008948AA"/>
    <w:rsid w:val="008B56E3"/>
    <w:rsid w:val="008E08D4"/>
    <w:rsid w:val="008E39D1"/>
    <w:rsid w:val="00926C0E"/>
    <w:rsid w:val="00934A66"/>
    <w:rsid w:val="00967D8B"/>
    <w:rsid w:val="009B0650"/>
    <w:rsid w:val="009C1443"/>
    <w:rsid w:val="009F0F08"/>
    <w:rsid w:val="00A919CF"/>
    <w:rsid w:val="00AC124C"/>
    <w:rsid w:val="00AC5A6D"/>
    <w:rsid w:val="00AD3D0A"/>
    <w:rsid w:val="00B05735"/>
    <w:rsid w:val="00B05B8C"/>
    <w:rsid w:val="00B23A58"/>
    <w:rsid w:val="00B37662"/>
    <w:rsid w:val="00B54D5D"/>
    <w:rsid w:val="00B60371"/>
    <w:rsid w:val="00B841DF"/>
    <w:rsid w:val="00BE0B5A"/>
    <w:rsid w:val="00C21DCC"/>
    <w:rsid w:val="00C7481D"/>
    <w:rsid w:val="00C761CD"/>
    <w:rsid w:val="00C86397"/>
    <w:rsid w:val="00CB12CD"/>
    <w:rsid w:val="00CB3521"/>
    <w:rsid w:val="00CE734E"/>
    <w:rsid w:val="00D451E5"/>
    <w:rsid w:val="00D50EFA"/>
    <w:rsid w:val="00D614C2"/>
    <w:rsid w:val="00D6246E"/>
    <w:rsid w:val="00D8347E"/>
    <w:rsid w:val="00D8537B"/>
    <w:rsid w:val="00D85593"/>
    <w:rsid w:val="00DD20E1"/>
    <w:rsid w:val="00DE666E"/>
    <w:rsid w:val="00E00131"/>
    <w:rsid w:val="00E41483"/>
    <w:rsid w:val="00E4580D"/>
    <w:rsid w:val="00E52CD3"/>
    <w:rsid w:val="00E619DA"/>
    <w:rsid w:val="00E81AB1"/>
    <w:rsid w:val="00EB44F9"/>
    <w:rsid w:val="00EB7E35"/>
    <w:rsid w:val="00ED302B"/>
    <w:rsid w:val="00EE17CD"/>
    <w:rsid w:val="00F23481"/>
    <w:rsid w:val="00F26AEC"/>
    <w:rsid w:val="00F53E71"/>
    <w:rsid w:val="00F77396"/>
    <w:rsid w:val="00F82117"/>
    <w:rsid w:val="00F90CB2"/>
    <w:rsid w:val="00FF1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3D5EE1E"/>
  <w15:docId w15:val="{0D74D016-DA9E-4967-97A0-775FD42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aliases w:val="table 1"/>
    <w:basedOn w:val="Navadnatabela"/>
    <w:uiPriority w:val="3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99"/>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D614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14C2"/>
    <w:rPr>
      <w:rFonts w:ascii="Tahoma" w:hAnsi="Tahoma" w:cs="Tahoma"/>
      <w:sz w:val="16"/>
      <w:szCs w:val="16"/>
    </w:rPr>
  </w:style>
  <w:style w:type="table" w:customStyle="1" w:styleId="Tabelamrea1">
    <w:name w:val="Tabela – mreža1"/>
    <w:basedOn w:val="Navadnatabela"/>
    <w:uiPriority w:val="59"/>
    <w:rsid w:val="00F26A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jetjedolgo">
    <w:name w:val="podjetjedolgo"/>
    <w:basedOn w:val="Privzetapisavaodstavka"/>
    <w:rsid w:val="00F26AEC"/>
  </w:style>
  <w:style w:type="character" w:customStyle="1" w:styleId="podjetjekratko">
    <w:name w:val="podjetjekratko"/>
    <w:basedOn w:val="Privzetapisavaodstavka"/>
    <w:rsid w:val="00F26AEC"/>
  </w:style>
  <w:style w:type="paragraph" w:styleId="Pripombabesedilo">
    <w:name w:val="annotation text"/>
    <w:basedOn w:val="Navaden"/>
    <w:link w:val="PripombabesediloZnak"/>
    <w:uiPriority w:val="99"/>
    <w:semiHidden/>
    <w:rsid w:val="00391346"/>
    <w:pPr>
      <w:spacing w:after="200"/>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391346"/>
    <w:rPr>
      <w:rFonts w:ascii="Calibri" w:eastAsia="Times New Roman" w:hAnsi="Calibri" w:cs="Times New Roman"/>
      <w:sz w:val="20"/>
      <w:szCs w:val="20"/>
      <w:lang w:eastAsia="sl-SI"/>
    </w:rPr>
  </w:style>
  <w:style w:type="paragraph" w:styleId="Navadensplet">
    <w:name w:val="Normal (Web)"/>
    <w:basedOn w:val="Navaden"/>
    <w:uiPriority w:val="99"/>
    <w:unhideWhenUsed/>
    <w:rsid w:val="006F7C58"/>
    <w:pPr>
      <w:spacing w:before="100" w:beforeAutospacing="1" w:after="100" w:afterAutospacing="1" w:line="240" w:lineRule="auto"/>
    </w:pPr>
    <w:rPr>
      <w:rFonts w:ascii="Times New Roman" w:eastAsia="Times New Roman" w:hAnsi="Times New Roman" w:cs="Times New Roman"/>
      <w:lang w:eastAsia="sl-SI"/>
    </w:rPr>
  </w:style>
  <w:style w:type="paragraph" w:styleId="Telobesedila3">
    <w:name w:val="Body Text 3"/>
    <w:basedOn w:val="Navaden"/>
    <w:link w:val="Telobesedila3Znak"/>
    <w:rsid w:val="00D8347E"/>
    <w:pPr>
      <w:tabs>
        <w:tab w:val="left" w:pos="495"/>
      </w:tabs>
      <w:spacing w:after="0" w:line="240" w:lineRule="auto"/>
    </w:pPr>
    <w:rPr>
      <w:rFonts w:ascii="Arial" w:eastAsia="Times New Roman" w:hAnsi="Arial" w:cs="Arial"/>
      <w:b/>
      <w:sz w:val="20"/>
      <w:lang w:eastAsia="sl-SI"/>
    </w:rPr>
  </w:style>
  <w:style w:type="character" w:customStyle="1" w:styleId="Telobesedila3Znak">
    <w:name w:val="Telo besedila 3 Znak"/>
    <w:basedOn w:val="Privzetapisavaodstavka"/>
    <w:link w:val="Telobesedila3"/>
    <w:rsid w:val="00D8347E"/>
    <w:rPr>
      <w:rFonts w:ascii="Arial" w:eastAsia="Times New Roman" w:hAnsi="Arial" w:cs="Arial"/>
      <w:b/>
      <w:sz w:val="20"/>
      <w:szCs w:val="24"/>
      <w:lang w:eastAsia="sl-SI"/>
    </w:rPr>
  </w:style>
  <w:style w:type="paragraph" w:styleId="Brezrazmikov">
    <w:name w:val="No Spacing"/>
    <w:link w:val="BrezrazmikovZnak"/>
    <w:uiPriority w:val="99"/>
    <w:qFormat/>
    <w:rsid w:val="00D8347E"/>
    <w:pPr>
      <w:spacing w:after="0" w:line="240" w:lineRule="auto"/>
    </w:pPr>
    <w:rPr>
      <w:rFonts w:ascii="Arial" w:eastAsia="Times New Roman" w:hAnsi="Arial" w:cs="Arial"/>
      <w:sz w:val="20"/>
      <w:szCs w:val="20"/>
      <w:lang w:eastAsia="sl-SI"/>
    </w:rPr>
  </w:style>
  <w:style w:type="character" w:customStyle="1" w:styleId="BrezrazmikovZnak">
    <w:name w:val="Brez razmikov Znak"/>
    <w:link w:val="Brezrazmikov"/>
    <w:uiPriority w:val="99"/>
    <w:rsid w:val="00D8347E"/>
    <w:rPr>
      <w:rFonts w:ascii="Arial" w:eastAsia="Times New Roman" w:hAnsi="Arial" w:cs="Arial"/>
      <w:sz w:val="20"/>
      <w:szCs w:val="20"/>
      <w:lang w:eastAsia="sl-SI"/>
    </w:rPr>
  </w:style>
  <w:style w:type="paragraph" w:customStyle="1" w:styleId="Default">
    <w:name w:val="Default"/>
    <w:qFormat/>
    <w:rsid w:val="00690789"/>
    <w:pPr>
      <w:spacing w:after="0" w:line="240" w:lineRule="auto"/>
    </w:pPr>
    <w:rPr>
      <w:rFonts w:ascii="Trebuchet MS" w:eastAsia="Times New Roman" w:hAnsi="Trebuchet MS" w:cs="Trebuchet MS"/>
      <w:color w:val="000000"/>
      <w:sz w:val="24"/>
      <w:szCs w:val="24"/>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2156">
      <w:bodyDiv w:val="1"/>
      <w:marLeft w:val="0"/>
      <w:marRight w:val="0"/>
      <w:marTop w:val="0"/>
      <w:marBottom w:val="0"/>
      <w:divBdr>
        <w:top w:val="none" w:sz="0" w:space="0" w:color="auto"/>
        <w:left w:val="none" w:sz="0" w:space="0" w:color="auto"/>
        <w:bottom w:val="none" w:sz="0" w:space="0" w:color="auto"/>
        <w:right w:val="none" w:sz="0" w:space="0" w:color="auto"/>
      </w:divBdr>
    </w:div>
    <w:div w:id="216668688">
      <w:bodyDiv w:val="1"/>
      <w:marLeft w:val="0"/>
      <w:marRight w:val="0"/>
      <w:marTop w:val="0"/>
      <w:marBottom w:val="0"/>
      <w:divBdr>
        <w:top w:val="none" w:sz="0" w:space="0" w:color="auto"/>
        <w:left w:val="none" w:sz="0" w:space="0" w:color="auto"/>
        <w:bottom w:val="none" w:sz="0" w:space="0" w:color="auto"/>
        <w:right w:val="none" w:sz="0" w:space="0" w:color="auto"/>
      </w:divBdr>
    </w:div>
    <w:div w:id="482084024">
      <w:bodyDiv w:val="1"/>
      <w:marLeft w:val="0"/>
      <w:marRight w:val="0"/>
      <w:marTop w:val="0"/>
      <w:marBottom w:val="0"/>
      <w:divBdr>
        <w:top w:val="none" w:sz="0" w:space="0" w:color="auto"/>
        <w:left w:val="none" w:sz="0" w:space="0" w:color="auto"/>
        <w:bottom w:val="none" w:sz="0" w:space="0" w:color="auto"/>
        <w:right w:val="none" w:sz="0" w:space="0" w:color="auto"/>
      </w:divBdr>
    </w:div>
    <w:div w:id="627056596">
      <w:bodyDiv w:val="1"/>
      <w:marLeft w:val="0"/>
      <w:marRight w:val="0"/>
      <w:marTop w:val="0"/>
      <w:marBottom w:val="0"/>
      <w:divBdr>
        <w:top w:val="none" w:sz="0" w:space="0" w:color="auto"/>
        <w:left w:val="none" w:sz="0" w:space="0" w:color="auto"/>
        <w:bottom w:val="none" w:sz="0" w:space="0" w:color="auto"/>
        <w:right w:val="none" w:sz="0" w:space="0" w:color="auto"/>
      </w:divBdr>
    </w:div>
    <w:div w:id="720134269">
      <w:bodyDiv w:val="1"/>
      <w:marLeft w:val="0"/>
      <w:marRight w:val="0"/>
      <w:marTop w:val="0"/>
      <w:marBottom w:val="0"/>
      <w:divBdr>
        <w:top w:val="none" w:sz="0" w:space="0" w:color="auto"/>
        <w:left w:val="none" w:sz="0" w:space="0" w:color="auto"/>
        <w:bottom w:val="none" w:sz="0" w:space="0" w:color="auto"/>
        <w:right w:val="none" w:sz="0" w:space="0" w:color="auto"/>
      </w:divBdr>
    </w:div>
    <w:div w:id="1047141455">
      <w:bodyDiv w:val="1"/>
      <w:marLeft w:val="0"/>
      <w:marRight w:val="0"/>
      <w:marTop w:val="0"/>
      <w:marBottom w:val="0"/>
      <w:divBdr>
        <w:top w:val="none" w:sz="0" w:space="0" w:color="auto"/>
        <w:left w:val="none" w:sz="0" w:space="0" w:color="auto"/>
        <w:bottom w:val="none" w:sz="0" w:space="0" w:color="auto"/>
        <w:right w:val="none" w:sz="0" w:space="0" w:color="auto"/>
      </w:divBdr>
    </w:div>
    <w:div w:id="1048650674">
      <w:bodyDiv w:val="1"/>
      <w:marLeft w:val="0"/>
      <w:marRight w:val="0"/>
      <w:marTop w:val="0"/>
      <w:marBottom w:val="0"/>
      <w:divBdr>
        <w:top w:val="none" w:sz="0" w:space="0" w:color="auto"/>
        <w:left w:val="none" w:sz="0" w:space="0" w:color="auto"/>
        <w:bottom w:val="none" w:sz="0" w:space="0" w:color="auto"/>
        <w:right w:val="none" w:sz="0" w:space="0" w:color="auto"/>
      </w:divBdr>
    </w:div>
    <w:div w:id="1181623066">
      <w:bodyDiv w:val="1"/>
      <w:marLeft w:val="0"/>
      <w:marRight w:val="0"/>
      <w:marTop w:val="0"/>
      <w:marBottom w:val="0"/>
      <w:divBdr>
        <w:top w:val="none" w:sz="0" w:space="0" w:color="auto"/>
        <w:left w:val="none" w:sz="0" w:space="0" w:color="auto"/>
        <w:bottom w:val="none" w:sz="0" w:space="0" w:color="auto"/>
        <w:right w:val="none" w:sz="0" w:space="0" w:color="auto"/>
      </w:divBdr>
    </w:div>
    <w:div w:id="18865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37824B-57D1-4BC4-982A-4B199B24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829</Words>
  <Characters>4728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Lucija Avguštin</cp:lastModifiedBy>
  <cp:revision>17</cp:revision>
  <dcterms:created xsi:type="dcterms:W3CDTF">2019-01-26T09:51:00Z</dcterms:created>
  <dcterms:modified xsi:type="dcterms:W3CDTF">2019-06-13T05:34:00Z</dcterms:modified>
</cp:coreProperties>
</file>