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21" w:rsidRDefault="00B74121" w:rsidP="00B74121">
      <w:pPr>
        <w:shd w:val="clear" w:color="auto" w:fill="92D050"/>
        <w:spacing w:after="0" w:line="240" w:lineRule="auto"/>
        <w:rPr>
          <w:rFonts w:ascii="Verdana" w:hAnsi="Verdana"/>
          <w:b/>
          <w:sz w:val="28"/>
          <w:szCs w:val="28"/>
        </w:rPr>
      </w:pPr>
      <w:r w:rsidRPr="00A8619D">
        <w:rPr>
          <w:rFonts w:ascii="Verdana" w:hAnsi="Verdana"/>
          <w:b/>
          <w:sz w:val="28"/>
          <w:szCs w:val="28"/>
        </w:rPr>
        <w:t>Kaj je pristop CLLD – Lokalni razvoj, ki ga vodi Skupnost</w:t>
      </w:r>
      <w:r>
        <w:rPr>
          <w:rFonts w:ascii="Verdana" w:hAnsi="Verdana"/>
          <w:b/>
          <w:sz w:val="28"/>
          <w:szCs w:val="28"/>
        </w:rPr>
        <w:t>?</w:t>
      </w:r>
    </w:p>
    <w:p w:rsidR="00B74121" w:rsidRDefault="00B74121" w:rsidP="00B74121">
      <w:pPr>
        <w:shd w:val="clear" w:color="auto" w:fill="92D050"/>
        <w:spacing w:after="0" w:line="240" w:lineRule="auto"/>
        <w:rPr>
          <w:rFonts w:ascii="Verdana" w:hAnsi="Verdana"/>
          <w:b/>
          <w:sz w:val="28"/>
          <w:szCs w:val="28"/>
        </w:rPr>
      </w:pPr>
    </w:p>
    <w:p w:rsidR="00B74121" w:rsidRDefault="00B74121" w:rsidP="00B74121">
      <w:pPr>
        <w:spacing w:after="0" w:line="240" w:lineRule="auto"/>
        <w:jc w:val="both"/>
        <w:rPr>
          <w:rFonts w:ascii="Verdana" w:hAnsi="Verdana"/>
        </w:rPr>
      </w:pPr>
    </w:p>
    <w:p w:rsidR="00B74121" w:rsidRDefault="00B74121" w:rsidP="00B74121">
      <w:pPr>
        <w:spacing w:after="0" w:line="240" w:lineRule="auto"/>
        <w:jc w:val="both"/>
        <w:rPr>
          <w:rFonts w:ascii="Verdana" w:hAnsi="Verdana"/>
        </w:rPr>
      </w:pPr>
      <w:r w:rsidRPr="00A8619D">
        <w:rPr>
          <w:rFonts w:ascii="Verdana" w:hAnsi="Verdana"/>
        </w:rPr>
        <w:t xml:space="preserve">Pristop CLLD je pristop »od spodaj navzgor«, ki omogoča lokalnemu prebivalstvu, da </w:t>
      </w:r>
      <w:r>
        <w:rPr>
          <w:rFonts w:ascii="Verdana" w:hAnsi="Verdana"/>
        </w:rPr>
        <w:t>se medsebojno poveže</w:t>
      </w:r>
      <w:r w:rsidRPr="00A8619D">
        <w:rPr>
          <w:rFonts w:ascii="Verdana" w:hAnsi="Verdana"/>
        </w:rPr>
        <w:t xml:space="preserve"> v t.i. lokalne akcijske skupine (v nadaljnjem besedilu: LAS)</w:t>
      </w:r>
      <w:r>
        <w:rPr>
          <w:rFonts w:ascii="Verdana" w:hAnsi="Verdana"/>
        </w:rPr>
        <w:t xml:space="preserve"> in preko njih</w:t>
      </w:r>
      <w:r w:rsidRPr="00A8619D">
        <w:rPr>
          <w:rFonts w:ascii="Verdana" w:hAnsi="Verdana"/>
        </w:rPr>
        <w:t xml:space="preserve"> aktivno odloča o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p>
    <w:p w:rsidR="00B74121" w:rsidRPr="00A8619D" w:rsidRDefault="00B74121" w:rsidP="00B74121">
      <w:pPr>
        <w:spacing w:after="0" w:line="240" w:lineRule="auto"/>
        <w:jc w:val="both"/>
        <w:rPr>
          <w:rFonts w:ascii="Verdana" w:hAnsi="Verdana"/>
        </w:rPr>
      </w:pPr>
    </w:p>
    <w:p w:rsidR="00B74121" w:rsidRDefault="00B74121" w:rsidP="00B74121">
      <w:pPr>
        <w:spacing w:after="0" w:line="240" w:lineRule="auto"/>
        <w:jc w:val="both"/>
        <w:rPr>
          <w:rFonts w:ascii="Verdana" w:hAnsi="Verdana"/>
        </w:rPr>
      </w:pPr>
      <w:r w:rsidRPr="00A8619D">
        <w:rPr>
          <w:rFonts w:ascii="Verdana" w:hAnsi="Verdana"/>
        </w:rPr>
        <w:t xml:space="preserve">S kombinacijo različnih virov financiranja skozi instrument CLLD </w:t>
      </w:r>
      <w:r>
        <w:rPr>
          <w:rFonts w:ascii="Verdana" w:hAnsi="Verdana"/>
        </w:rPr>
        <w:t>lahko LAS izvede celovite in kompleksnejše</w:t>
      </w:r>
      <w:r w:rsidRPr="00A8619D">
        <w:rPr>
          <w:rFonts w:ascii="Verdana" w:hAnsi="Verdana"/>
        </w:rPr>
        <w:t xml:space="preserve"> operacij</w:t>
      </w:r>
      <w:r>
        <w:rPr>
          <w:rFonts w:ascii="Verdana" w:hAnsi="Verdana"/>
        </w:rPr>
        <w:t>e, ki</w:t>
      </w:r>
      <w:r w:rsidRPr="00A8619D">
        <w:rPr>
          <w:rFonts w:ascii="Verdana" w:hAnsi="Verdana"/>
        </w:rPr>
        <w:t xml:space="preserve"> niso strogo omejene na podeželska območja, ampak vključujejo tudi ribiška in mestna naselja. Tovrsten pristop je veliko bolj celostni in posledično vpliva na uspešnejše uresničevanje lokalnih potreb. Dostop do sredstev različnih skladov lokalnim partnerstvom omogoča, da razširijo svoje področje uporabe in namenijo več pozornosti nekaterim področjem in vprašanjem, ki bi jih sicer težko obravnavala. </w:t>
      </w:r>
    </w:p>
    <w:p w:rsidR="00B74121" w:rsidRDefault="00B74121" w:rsidP="00B74121">
      <w:pPr>
        <w:spacing w:after="0" w:line="240" w:lineRule="auto"/>
        <w:jc w:val="both"/>
        <w:rPr>
          <w:rFonts w:ascii="Verdana" w:hAnsi="Verdana"/>
        </w:rPr>
      </w:pPr>
    </w:p>
    <w:p w:rsidR="00B74121" w:rsidRPr="00A8619D" w:rsidRDefault="00B74121" w:rsidP="00B74121">
      <w:pPr>
        <w:spacing w:after="0" w:line="240" w:lineRule="auto"/>
        <w:jc w:val="both"/>
        <w:rPr>
          <w:rFonts w:ascii="Verdana" w:hAnsi="Verdana"/>
        </w:rPr>
      </w:pPr>
      <w:r w:rsidRPr="00A8619D">
        <w:rPr>
          <w:rFonts w:ascii="Verdana" w:hAnsi="Verdana"/>
        </w:rPr>
        <w:t>Strategija lokalnega razvoja (v nadaljnjem besedilu: SLR), ki jo za posamezno območje pripravi lokalno partnerstvo, odgovarja posebnim bodisi geogr</w:t>
      </w:r>
      <w:r>
        <w:rPr>
          <w:rFonts w:ascii="Verdana" w:hAnsi="Verdana"/>
        </w:rPr>
        <w:t xml:space="preserve">afskim ali demografskim izzivom, v njej pa si LAS zastavi cilje, ki jih želi izvesti v novem programskem obdobju po pristopu CLLD in s sredstvi CLLD. </w:t>
      </w:r>
    </w:p>
    <w:p w:rsidR="00B74121" w:rsidRPr="0098551D" w:rsidRDefault="00B74121" w:rsidP="00B74121">
      <w:pPr>
        <w:spacing w:after="0" w:line="240" w:lineRule="auto"/>
        <w:jc w:val="both"/>
        <w:rPr>
          <w:rFonts w:ascii="Verdana" w:hAnsi="Verdana"/>
          <w:b/>
        </w:rPr>
      </w:pPr>
    </w:p>
    <w:p w:rsidR="00B74121" w:rsidRPr="0098551D" w:rsidRDefault="00B74121" w:rsidP="00B74121">
      <w:pPr>
        <w:spacing w:after="0" w:line="240" w:lineRule="auto"/>
        <w:jc w:val="both"/>
        <w:rPr>
          <w:rFonts w:ascii="Verdana" w:hAnsi="Verdana"/>
          <w:b/>
        </w:rPr>
      </w:pPr>
      <w:r w:rsidRPr="0098551D">
        <w:rPr>
          <w:rFonts w:ascii="Verdana" w:hAnsi="Verdana"/>
          <w:b/>
        </w:rPr>
        <w:t>V Sloveniji bo v programskem obdobju izvajanje pristopa CLLD podprto s sredstvi treh evropskih skladov, to so:</w:t>
      </w:r>
    </w:p>
    <w:p w:rsidR="00B74121" w:rsidRPr="0098551D" w:rsidRDefault="00B74121" w:rsidP="00B74121">
      <w:pPr>
        <w:pStyle w:val="Odstavekseznama"/>
        <w:numPr>
          <w:ilvl w:val="0"/>
          <w:numId w:val="5"/>
        </w:numPr>
        <w:spacing w:after="0" w:line="240" w:lineRule="auto"/>
        <w:jc w:val="both"/>
        <w:rPr>
          <w:rFonts w:ascii="Verdana" w:hAnsi="Verdana"/>
        </w:rPr>
      </w:pPr>
      <w:r w:rsidRPr="0098551D">
        <w:rPr>
          <w:rFonts w:ascii="Verdana" w:hAnsi="Verdana"/>
        </w:rPr>
        <w:t>Evropski kmetijski sklad za razvoj podeželja</w:t>
      </w:r>
    </w:p>
    <w:p w:rsidR="00B74121" w:rsidRPr="0098551D" w:rsidRDefault="00B74121" w:rsidP="00B74121">
      <w:pPr>
        <w:pStyle w:val="Odstavekseznama"/>
        <w:numPr>
          <w:ilvl w:val="0"/>
          <w:numId w:val="5"/>
        </w:numPr>
        <w:spacing w:after="0" w:line="240" w:lineRule="auto"/>
        <w:jc w:val="both"/>
        <w:rPr>
          <w:rFonts w:ascii="Verdana" w:hAnsi="Verdana"/>
        </w:rPr>
      </w:pPr>
      <w:r w:rsidRPr="0098551D">
        <w:rPr>
          <w:rFonts w:ascii="Verdana" w:hAnsi="Verdana"/>
        </w:rPr>
        <w:t>Evropski sklad za regionalni razvoj</w:t>
      </w:r>
    </w:p>
    <w:p w:rsidR="00B74121" w:rsidRPr="0098551D" w:rsidRDefault="00B74121" w:rsidP="00B74121">
      <w:pPr>
        <w:pStyle w:val="Odstavekseznama"/>
        <w:numPr>
          <w:ilvl w:val="0"/>
          <w:numId w:val="5"/>
        </w:numPr>
        <w:spacing w:after="0" w:line="240" w:lineRule="auto"/>
        <w:jc w:val="both"/>
        <w:rPr>
          <w:rFonts w:ascii="Verdana" w:hAnsi="Verdana"/>
        </w:rPr>
      </w:pPr>
      <w:r w:rsidRPr="0098551D">
        <w:rPr>
          <w:rFonts w:ascii="Verdana" w:hAnsi="Verdana"/>
        </w:rPr>
        <w:t>Evropski sklad za pomorstvo in ribištvo</w:t>
      </w:r>
    </w:p>
    <w:p w:rsidR="00B74121" w:rsidRPr="00A8619D" w:rsidRDefault="00B74121" w:rsidP="00B74121">
      <w:pPr>
        <w:spacing w:after="0" w:line="240" w:lineRule="auto"/>
        <w:rPr>
          <w:rFonts w:ascii="Verdana" w:hAnsi="Verdana"/>
          <w:b/>
          <w:sz w:val="28"/>
          <w:szCs w:val="28"/>
        </w:rPr>
      </w:pPr>
    </w:p>
    <w:p w:rsidR="00B74121" w:rsidRPr="00F40B34" w:rsidRDefault="00B74121" w:rsidP="00B74121">
      <w:pPr>
        <w:pStyle w:val="Odstavekseznama"/>
        <w:numPr>
          <w:ilvl w:val="0"/>
          <w:numId w:val="7"/>
        </w:numPr>
        <w:shd w:val="clear" w:color="auto" w:fill="92D050"/>
        <w:spacing w:after="0" w:line="240" w:lineRule="auto"/>
        <w:jc w:val="both"/>
        <w:rPr>
          <w:rFonts w:ascii="Verdana" w:hAnsi="Verdana"/>
          <w:b/>
          <w:sz w:val="28"/>
          <w:szCs w:val="28"/>
        </w:rPr>
      </w:pPr>
      <w:r w:rsidRPr="00F40B34">
        <w:rPr>
          <w:rFonts w:ascii="Verdana" w:hAnsi="Verdana"/>
          <w:b/>
          <w:sz w:val="28"/>
          <w:szCs w:val="28"/>
        </w:rPr>
        <w:t>Pravne podlage za izvajanje Lokalnega razvoja, ki ga vodi Skupnost</w:t>
      </w:r>
    </w:p>
    <w:p w:rsidR="00B74121" w:rsidRDefault="00B74121" w:rsidP="00B74121">
      <w:pPr>
        <w:spacing w:after="0" w:line="240" w:lineRule="auto"/>
        <w:jc w:val="both"/>
        <w:rPr>
          <w:rFonts w:ascii="Verdana" w:hAnsi="Verdana"/>
        </w:rPr>
      </w:pPr>
    </w:p>
    <w:p w:rsidR="00B74121" w:rsidRPr="0098551D" w:rsidRDefault="00B74121" w:rsidP="00B74121">
      <w:pPr>
        <w:spacing w:after="0" w:line="240" w:lineRule="auto"/>
        <w:jc w:val="both"/>
        <w:rPr>
          <w:rFonts w:ascii="Verdana" w:hAnsi="Verdana"/>
        </w:rPr>
      </w:pPr>
      <w:r w:rsidRPr="00A8619D">
        <w:rPr>
          <w:rFonts w:ascii="Verdana" w:hAnsi="Verdana"/>
        </w:rPr>
        <w:t xml:space="preserve">Temeljna pravna podlaga na ravni RS je </w:t>
      </w:r>
      <w:r w:rsidRPr="0098551D">
        <w:rPr>
          <w:rFonts w:ascii="Verdana" w:hAnsi="Verdana"/>
          <w:b/>
        </w:rPr>
        <w:t>Uredba o izvajanju lokalnega razvoja, ki ga vodi Skupnost, v programskem obdobju 2014–2020</w:t>
      </w:r>
      <w:r w:rsidRPr="00A8619D">
        <w:rPr>
          <w:rFonts w:ascii="Verdana" w:hAnsi="Verdana"/>
        </w:rPr>
        <w:t xml:space="preserve"> (Uradni list RS</w:t>
      </w:r>
      <w:r>
        <w:rPr>
          <w:b/>
          <w:bCs/>
          <w:color w:val="669900"/>
        </w:rPr>
        <w:t>,</w:t>
      </w:r>
      <w:r w:rsidRPr="00A8619D">
        <w:rPr>
          <w:b/>
          <w:bCs/>
          <w:color w:val="669900"/>
        </w:rPr>
        <w:t xml:space="preserve"> </w:t>
      </w:r>
      <w:hyperlink r:id="rId5" w:tgtFrame="_blank" w:history="1">
        <w:r w:rsidRPr="00A8619D">
          <w:rPr>
            <w:b/>
            <w:bCs/>
            <w:color w:val="0000FF"/>
            <w:u w:val="single"/>
          </w:rPr>
          <w:t>št. 42/15</w:t>
        </w:r>
      </w:hyperlink>
      <w:r w:rsidRPr="0098551D">
        <w:rPr>
          <w:rFonts w:ascii="Verdana" w:hAnsi="Verdana"/>
        </w:rPr>
        <w:t>), temelji pa na spodaj navedenih pravnih podlagah, ki jih je potrebno pri izvajanju pristopa CLLD in sofinanciranju izvedbenih projektov v celoti in dosledno upoštevati:</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Uredbe (EU) št. 1301/2013 Evropskega parlamenta in Sveta z dne 17. decembra 2013 o Evropskem skladu za regionalni razvoj in o posebnih določbah glede cilja "naložbe za rast in delovna mesta" ter o razveljavitvi Uredbe (ES) št. 1080/2006 (UL L št. 347 z dne 20. 12. 2013, str. 289; v nadaljnjem besedilu: Uredba 1301/2013/EU);</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lastRenderedPageBreak/>
        <w:t>Uredbe (EU) št. 1305/2013 Evropskega parlamenta in Sveta z dne 17. decembra 2013 o podpori za razvoj podeželja iz Evropskega kmetijskega sklada za razvoj podeželja (EKSRP)</w:t>
      </w:r>
      <w:hyperlink r:id="rId6" w:history="1">
        <w:r w:rsidRPr="00A8619D">
          <w:rPr>
            <w:rFonts w:ascii="Verdana" w:hAnsi="Verdana" w:cs="Arial"/>
            <w:sz w:val="20"/>
            <w:szCs w:val="20"/>
          </w:rPr>
          <w:t> in razveljavitvi Uredbe Sveta (ES) št. 1698/2005</w:t>
        </w:r>
      </w:hyperlink>
      <w:r w:rsidRPr="00A8619D">
        <w:rPr>
          <w:rFonts w:ascii="Verdana" w:hAnsi="Verdana" w:cs="Arial"/>
          <w:sz w:val="20"/>
          <w:szCs w:val="20"/>
        </w:rPr>
        <w:t xml:space="preserve"> (UL L št. 347 z dne 20. 12. 2013, str. 487; v nadaljnjem besedilu: Uredba 1305/2013/EU);</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v nadaljnjem besedilu: Uredba 1306/2013/EU); </w:t>
      </w:r>
    </w:p>
    <w:p w:rsidR="00B74121" w:rsidRPr="00A8619D" w:rsidRDefault="00DD58D5" w:rsidP="00B74121">
      <w:pPr>
        <w:numPr>
          <w:ilvl w:val="0"/>
          <w:numId w:val="1"/>
        </w:numPr>
        <w:spacing w:after="0" w:line="240" w:lineRule="auto"/>
        <w:ind w:left="426" w:hanging="426"/>
        <w:jc w:val="both"/>
        <w:rPr>
          <w:rFonts w:ascii="Verdana" w:hAnsi="Verdana" w:cs="Arial"/>
          <w:sz w:val="20"/>
          <w:szCs w:val="20"/>
        </w:rPr>
      </w:pPr>
      <w:hyperlink r:id="rId7" w:history="1">
        <w:r w:rsidR="00B74121" w:rsidRPr="00A8619D">
          <w:rPr>
            <w:rFonts w:ascii="Verdana" w:hAnsi="Verdana" w:cs="Arial"/>
            <w:sz w:val="20"/>
            <w:szCs w:val="20"/>
          </w:rPr>
          <w:t>Uredba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w:t>
        </w:r>
      </w:hyperlink>
      <w:r w:rsidR="00B74121" w:rsidRPr="00A8619D" w:rsidDel="00892C8F">
        <w:rPr>
          <w:rFonts w:ascii="Verdana" w:hAnsi="Verdana" w:cs="Arial"/>
          <w:sz w:val="20"/>
          <w:szCs w:val="20"/>
        </w:rPr>
        <w:t xml:space="preserve"> </w:t>
      </w:r>
      <w:r w:rsidR="00B74121" w:rsidRPr="00A8619D">
        <w:rPr>
          <w:rFonts w:ascii="Verdana" w:hAnsi="Verdana" w:cs="Arial"/>
          <w:sz w:val="20"/>
          <w:szCs w:val="20"/>
        </w:rPr>
        <w:t xml:space="preserve">(UL L št. 347 z dne 20. 12. 2013, str. 865); </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Uredbe Komisije (EU) št. 1407/2013 z dne 18. decembra 2013 o uporabi členov 107 in 108 Pogodbe o delovanju Evropske unije pri pomoči de minimis (UL L št. 352 z dne 24. 12. 2013, str. 1) (v nadaljnjem besedilu: Uredba 1407/2013/EU);</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hAnsi="Verdana" w:cs="Arial"/>
          <w:sz w:val="20"/>
          <w:szCs w:val="20"/>
        </w:rPr>
        <w:t xml:space="preserve">Izvedbene </w:t>
      </w:r>
      <w:r w:rsidRPr="00A8619D">
        <w:rPr>
          <w:rFonts w:ascii="Verdana" w:eastAsia="SimSun" w:hAnsi="Verdana" w:cs="Arial"/>
          <w:kern w:val="1"/>
          <w:sz w:val="20"/>
          <w:szCs w:val="20"/>
          <w:lang w:eastAsia="hi-IN" w:bidi="hi-IN"/>
        </w:rPr>
        <w:t>uredbe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 2. 2014, str. 7)</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hAnsi="Verdana" w:cs="Arial"/>
          <w:sz w:val="20"/>
          <w:szCs w:val="20"/>
        </w:rPr>
        <w:t xml:space="preserve">Izvedbene </w:t>
      </w:r>
      <w:r w:rsidRPr="00A8619D">
        <w:rPr>
          <w:rFonts w:ascii="Verdana" w:eastAsia="SimSun" w:hAnsi="Verdana" w:cs="Arial"/>
          <w:kern w:val="1"/>
          <w:sz w:val="20"/>
          <w:szCs w:val="20"/>
          <w:lang w:eastAsia="hi-IN" w:bidi="hi-IN"/>
        </w:rPr>
        <w:t>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hAnsi="Verdana" w:cs="Arial"/>
          <w:sz w:val="20"/>
          <w:szCs w:val="20"/>
        </w:rPr>
        <w:t xml:space="preserve">Delegirane </w:t>
      </w:r>
      <w:r w:rsidRPr="00A8619D">
        <w:rPr>
          <w:rFonts w:ascii="Verdana" w:hAnsi="Verdana" w:cs="Arial"/>
          <w:bCs/>
          <w:sz w:val="20"/>
          <w:szCs w:val="20"/>
        </w:rPr>
        <w:t>uredbe Komisije (EU) št. 240/2014 z dne 7. januarja 2014 o Evropskem kodeksu dobre prakse za partnerstvo v okviru evropskih strukturnih in investicijskih skladov (UL L št. 74 z dne 14. 3. 2014, str. 1);</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hAnsi="Verdana" w:cs="Arial"/>
          <w:bCs/>
          <w:sz w:val="20"/>
          <w:szCs w:val="20"/>
        </w:rPr>
        <w:t xml:space="preserve">Delegirane </w:t>
      </w:r>
      <w:r w:rsidRPr="00A8619D">
        <w:rPr>
          <w:rFonts w:ascii="Verdana" w:eastAsia="SimSun" w:hAnsi="Verdana" w:cs="Arial"/>
          <w:kern w:val="1"/>
          <w:sz w:val="20"/>
          <w:szCs w:val="20"/>
          <w:lang w:eastAsia="hi-IN" w:bidi="hi-IN"/>
        </w:rPr>
        <w:t>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 xml:space="preserve">Uredbe (EU) št. 508/2014 Evropskega parlamenta in Sveta z dne 15. maja 2014 o Evropskem skladu za pomorstvo in ribištvo in razveljavitvi uredb Sveta (ES) št. 2328/2003, (ES) št. 861/2006, (ES) št. 1198/2006 in (ES) št. 791/2007 in Uredbe </w:t>
      </w:r>
      <w:r w:rsidRPr="00A8619D">
        <w:rPr>
          <w:rFonts w:ascii="Verdana" w:hAnsi="Verdana" w:cs="Arial"/>
          <w:sz w:val="20"/>
          <w:szCs w:val="20"/>
        </w:rPr>
        <w:lastRenderedPageBreak/>
        <w:t xml:space="preserve">(EU) št. 1255/2011 Evropskega parlamenta in Sveta </w:t>
      </w:r>
      <w:r w:rsidRPr="00A8619D">
        <w:rPr>
          <w:rFonts w:ascii="Verdana" w:hAnsi="Verdana" w:cs="Arial"/>
          <w:bCs/>
          <w:sz w:val="20"/>
          <w:szCs w:val="20"/>
        </w:rPr>
        <w:t>(UL L št. 149 z dne 20. 5. 2014, str. 1;</w:t>
      </w:r>
      <w:r w:rsidRPr="00A8619D">
        <w:rPr>
          <w:rFonts w:ascii="Verdana" w:hAnsi="Verdana" w:cs="Arial"/>
          <w:sz w:val="20"/>
          <w:szCs w:val="20"/>
        </w:rPr>
        <w:t xml:space="preserve"> v nadaljnjem besedilu: Uredba 508/2014/EU);</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eastAsia="SimSun" w:hAnsi="Verdana" w:cs="Arial"/>
          <w:kern w:val="1"/>
          <w:sz w:val="20"/>
          <w:szCs w:val="20"/>
          <w:lang w:eastAsia="hi-IN" w:bidi="hi-IN"/>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 xml:space="preserve">Delegirane </w:t>
      </w:r>
      <w:r w:rsidRPr="00A8619D">
        <w:rPr>
          <w:rFonts w:ascii="Verdana" w:hAnsi="Verdana" w:cs="Arial"/>
          <w:sz w:val="20"/>
        </w:rPr>
        <w:t>u</w:t>
      </w:r>
      <w:hyperlink r:id="rId8" w:history="1">
        <w:r w:rsidRPr="00A8619D">
          <w:rPr>
            <w:rFonts w:ascii="Verdana" w:hAnsi="Verdana" w:cs="Arial"/>
            <w:sz w:val="20"/>
            <w:szCs w:val="20"/>
          </w:rPr>
          <w:t>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w:t>
        </w:r>
      </w:hyperlink>
      <w:r w:rsidRPr="00A8619D">
        <w:rPr>
          <w:rFonts w:ascii="Verdana" w:hAnsi="Verdana" w:cs="Arial"/>
          <w:sz w:val="20"/>
          <w:szCs w:val="20"/>
        </w:rPr>
        <w:t xml:space="preserve"> (UL L št. 181 z dne 20. 6. 2014, str. 48; v nadaljnjem besedilu: Uredba 640/2014/EU);</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Izvedbene uredbe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16.7.2014, str. 20)</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eastAsia="SimSun" w:hAnsi="Verdana" w:cs="Arial"/>
          <w:kern w:val="1"/>
          <w:sz w:val="20"/>
          <w:szCs w:val="20"/>
          <w:lang w:eastAsia="hi-IN" w:bidi="hi-IN"/>
        </w:rPr>
        <w:t>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w:t>
      </w:r>
      <w:r w:rsidRPr="00A8619D">
        <w:rPr>
          <w:rFonts w:ascii="Verdana" w:hAnsi="Verdana" w:cs="Arial"/>
          <w:bCs/>
          <w:sz w:val="20"/>
          <w:szCs w:val="20"/>
        </w:rPr>
        <w:t>;</w:t>
      </w:r>
    </w:p>
    <w:p w:rsidR="00B74121" w:rsidRPr="00A8619D" w:rsidRDefault="00DD58D5"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hyperlink r:id="rId9" w:history="1">
        <w:r w:rsidR="00B74121" w:rsidRPr="00A8619D">
          <w:rPr>
            <w:rFonts w:ascii="Verdana" w:eastAsia="SimSun" w:hAnsi="Verdana" w:cs="Arial"/>
            <w:kern w:val="1"/>
            <w:sz w:val="20"/>
            <w:szCs w:val="20"/>
            <w:lang w:eastAsia="hi-IN" w:bidi="hi-IN"/>
          </w:rPr>
          <w:t>Izvedbene uredbe Komisije (EU) št. 808/2014 z dne 17. julija 2014 o določitvi pravil za uporabo Uredbe (EU) št. 1305/2013 Evropskega parlamenta in Sveta o podpori za razvoj podeželja iz Evropskega kmetijskega sklada za razvoj pode</w:t>
        </w:r>
        <w:r w:rsidR="00B74121" w:rsidRPr="00A8619D">
          <w:rPr>
            <w:rFonts w:ascii="Verdana" w:eastAsia="MS Mincho" w:hAnsi="Verdana" w:cs="Arial"/>
            <w:kern w:val="1"/>
            <w:sz w:val="20"/>
            <w:szCs w:val="20"/>
            <w:lang w:eastAsia="hi-IN" w:bidi="hi-IN"/>
          </w:rPr>
          <w:t>ž</w:t>
        </w:r>
        <w:r w:rsidR="00B74121" w:rsidRPr="00A8619D">
          <w:rPr>
            <w:rFonts w:ascii="Verdana" w:eastAsia="SimSun" w:hAnsi="Verdana" w:cs="Arial"/>
            <w:kern w:val="1"/>
            <w:sz w:val="20"/>
            <w:szCs w:val="20"/>
            <w:lang w:eastAsia="hi-IN" w:bidi="hi-IN"/>
          </w:rPr>
          <w:t>elja (EKSRP)</w:t>
        </w:r>
      </w:hyperlink>
      <w:r w:rsidR="00B74121" w:rsidRPr="00A8619D">
        <w:rPr>
          <w:rFonts w:ascii="Verdana" w:eastAsia="SimSun" w:hAnsi="Verdana" w:cs="Arial"/>
          <w:kern w:val="1"/>
          <w:sz w:val="20"/>
          <w:szCs w:val="20"/>
          <w:lang w:eastAsia="hi-IN" w:bidi="hi-IN"/>
        </w:rPr>
        <w:t xml:space="preserve"> (UL L št. 227 z dne 31. 7. 2014, str. 18);</w:t>
      </w:r>
    </w:p>
    <w:p w:rsidR="00B74121" w:rsidRPr="00A8619D" w:rsidRDefault="00B74121" w:rsidP="00B74121">
      <w:pPr>
        <w:numPr>
          <w:ilvl w:val="0"/>
          <w:numId w:val="1"/>
        </w:numPr>
        <w:spacing w:after="0" w:line="240" w:lineRule="auto"/>
        <w:ind w:left="426" w:hanging="426"/>
        <w:jc w:val="both"/>
        <w:rPr>
          <w:rFonts w:ascii="Verdana" w:hAnsi="Verdana" w:cs="Arial"/>
          <w:sz w:val="20"/>
          <w:szCs w:val="20"/>
        </w:rPr>
      </w:pPr>
      <w:r w:rsidRPr="00A8619D">
        <w:rPr>
          <w:rFonts w:ascii="Verdana" w:hAnsi="Verdana" w:cs="Arial"/>
          <w:sz w:val="20"/>
          <w:szCs w:val="20"/>
        </w:rPr>
        <w:t>Izvedbene</w:t>
      </w:r>
      <w:r w:rsidRPr="00A8619D">
        <w:rPr>
          <w:rFonts w:ascii="Verdana" w:hAnsi="Verdana" w:cs="Arial"/>
          <w:sz w:val="16"/>
          <w:szCs w:val="20"/>
        </w:rPr>
        <w:t xml:space="preserve"> </w:t>
      </w:r>
      <w:r w:rsidRPr="00A8619D">
        <w:rPr>
          <w:rFonts w:ascii="Verdana" w:hAnsi="Verdana" w:cs="Arial"/>
          <w:sz w:val="20"/>
        </w:rPr>
        <w:t>u</w:t>
      </w:r>
      <w:hyperlink r:id="rId10" w:history="1">
        <w:r w:rsidRPr="00A8619D">
          <w:rPr>
            <w:rFonts w:ascii="Verdana" w:hAnsi="Verdana" w:cs="Arial"/>
            <w:bCs/>
            <w:sz w:val="20"/>
            <w:szCs w:val="20"/>
          </w:rPr>
          <w:t>redbe</w:t>
        </w:r>
        <w:r w:rsidRPr="00A8619D">
          <w:rPr>
            <w:rFonts w:ascii="Verdana" w:hAnsi="Verdana" w:cs="Arial"/>
            <w:sz w:val="20"/>
            <w:szCs w:val="20"/>
          </w:rPr>
          <w:t xml:space="preserve"> Komisije (EU) št. 809/2014 z dne 17. julija 2014 o pravilih za uporabo Uredbe (EU) št. 1306/2013 Evropskega parlamenta in Sveta v zvezi z integriranim administrativnim in kontrolnim sistemom, ukrepi za razvoj podeželja in navzkrižno skladnostjo</w:t>
        </w:r>
      </w:hyperlink>
      <w:r w:rsidRPr="00A8619D">
        <w:rPr>
          <w:rFonts w:ascii="Verdana" w:hAnsi="Verdana" w:cs="Arial"/>
          <w:sz w:val="20"/>
          <w:szCs w:val="20"/>
        </w:rPr>
        <w:t xml:space="preserve"> (UL L št. 227 z dne 31. 7. 2014, str. 69);</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hAnsi="Verdana" w:cs="Arial"/>
          <w:sz w:val="20"/>
          <w:szCs w:val="20"/>
        </w:rPr>
        <w:t xml:space="preserve">Izvedbene </w:t>
      </w:r>
      <w:r w:rsidRPr="00A8619D">
        <w:rPr>
          <w:rFonts w:ascii="Verdana" w:eastAsia="SimSun" w:hAnsi="Verdana" w:cs="Arial"/>
          <w:kern w:val="1"/>
          <w:sz w:val="20"/>
          <w:szCs w:val="20"/>
          <w:lang w:eastAsia="hi-IN" w:bidi="hi-IN"/>
        </w:rPr>
        <w:t>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 xml:space="preserve">Delegirane </w:t>
      </w:r>
      <w:hyperlink r:id="rId11" w:history="1">
        <w:r w:rsidRPr="00A8619D">
          <w:rPr>
            <w:rFonts w:ascii="Verdana" w:eastAsia="SimSun" w:hAnsi="Verdana" w:cs="Arial"/>
            <w:kern w:val="1"/>
            <w:sz w:val="20"/>
            <w:szCs w:val="20"/>
            <w:lang w:eastAsia="hi-IN" w:bidi="hi-IN"/>
          </w:rPr>
          <w:t>uredbe Komisije (EU) št. 907/2014 z dne 11. marca 2014 o dopolnitvi Uredbe (EU) št. 1306/2013 Evropskega parlamenta in Sveta v zvezi s plačilnimi agencijami in ostalimi organi, finančnim upravljanjem, potrditvijo obračunov, varščinami in uporabo eura</w:t>
        </w:r>
      </w:hyperlink>
      <w:r w:rsidRPr="00A8619D">
        <w:rPr>
          <w:rFonts w:ascii="Verdana" w:eastAsia="SimSun" w:hAnsi="Verdana" w:cs="Arial"/>
          <w:kern w:val="1"/>
          <w:sz w:val="20"/>
          <w:szCs w:val="20"/>
          <w:lang w:eastAsia="hi-IN" w:bidi="hi-IN"/>
        </w:rPr>
        <w:t xml:space="preserve"> (UL L št. 255 z dne 28. 8. 2014, str. 18), zadnjič popravljene s Popravkom Delegirane uredbe Komisije (EU) št. 907/2014 z dne 11. marca 2014 o dopolnitvi Uredbe (EU) št. 1306/2013 Evropskega parlamenta in Sveta v zvezi s plačilnimi agencijami in ostalimi organi, finančnim upravljanjem, potrditvijo obračunov, varščinami in uporabo eura (UL L št. 271 z dne 12. 9. 2014, str. 102);</w:t>
      </w:r>
    </w:p>
    <w:p w:rsidR="00B74121" w:rsidRPr="00A8619D" w:rsidRDefault="00B74121" w:rsidP="00B74121">
      <w:pPr>
        <w:numPr>
          <w:ilvl w:val="0"/>
          <w:numId w:val="1"/>
        </w:numPr>
        <w:spacing w:after="0" w:line="240" w:lineRule="auto"/>
        <w:ind w:left="426" w:hanging="426"/>
        <w:jc w:val="both"/>
        <w:rPr>
          <w:rFonts w:ascii="Verdana" w:hAnsi="Verdana" w:cs="Arial"/>
          <w:bCs/>
          <w:sz w:val="20"/>
          <w:szCs w:val="20"/>
        </w:rPr>
      </w:pPr>
      <w:r w:rsidRPr="00A8619D">
        <w:rPr>
          <w:rFonts w:ascii="Verdana" w:eastAsia="SimSun" w:hAnsi="Verdana" w:cs="Arial"/>
          <w:kern w:val="1"/>
          <w:sz w:val="20"/>
          <w:szCs w:val="20"/>
          <w:lang w:eastAsia="hi-IN" w:bidi="hi-IN"/>
        </w:rPr>
        <w:t>Izvedbene u</w:t>
      </w:r>
      <w:hyperlink r:id="rId12" w:history="1">
        <w:r w:rsidRPr="00A8619D">
          <w:rPr>
            <w:rFonts w:ascii="Verdana" w:eastAsia="SimSun" w:hAnsi="Verdana" w:cs="Arial"/>
            <w:kern w:val="1"/>
            <w:sz w:val="20"/>
            <w:szCs w:val="20"/>
            <w:lang w:eastAsia="hi-IN" w:bidi="hi-IN"/>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Pr="00A8619D">
        <w:rPr>
          <w:rFonts w:ascii="Verdana" w:eastAsia="SimSun" w:hAnsi="Verdana" w:cs="Arial"/>
          <w:kern w:val="1"/>
          <w:sz w:val="20"/>
          <w:szCs w:val="20"/>
          <w:lang w:eastAsia="hi-IN" w:bidi="hi-IN"/>
        </w:rPr>
        <w:t xml:space="preserve"> (UL L št. 255 z dne 28. 8. </w:t>
      </w:r>
      <w:r w:rsidRPr="00A8619D">
        <w:rPr>
          <w:rFonts w:ascii="Verdana" w:eastAsia="SimSun" w:hAnsi="Verdana" w:cs="Arial"/>
          <w:kern w:val="1"/>
          <w:sz w:val="20"/>
          <w:szCs w:val="20"/>
          <w:lang w:eastAsia="hi-IN" w:bidi="hi-IN"/>
        </w:rPr>
        <w:lastRenderedPageBreak/>
        <w:t>2014, str. 59), zadnjič popravljene s Popravkom 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 UL L št. 29 z dne 5. 2. 2015, str. 16)</w:t>
      </w:r>
      <w:r w:rsidRPr="00A8619D">
        <w:rPr>
          <w:rFonts w:ascii="Verdana" w:hAnsi="Verdana" w:cs="Arial"/>
          <w:bCs/>
          <w:sz w:val="20"/>
          <w:szCs w:val="20"/>
        </w:rPr>
        <w:t xml:space="preserve">; </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r w:rsidRPr="00A8619D">
        <w:rPr>
          <w:rFonts w:ascii="Verdana" w:hAnsi="Verdana" w:cs="Arial"/>
          <w:bCs/>
          <w:sz w:val="20"/>
          <w:szCs w:val="20"/>
        </w:rPr>
        <w:t>);</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 UL L št. 347 z dne 3. 12. 2014, str. 46) in</w:t>
      </w:r>
    </w:p>
    <w:p w:rsidR="00B74121" w:rsidRPr="00A8619D" w:rsidRDefault="00B74121" w:rsidP="00B74121">
      <w:pPr>
        <w:numPr>
          <w:ilvl w:val="0"/>
          <w:numId w:val="1"/>
        </w:numPr>
        <w:spacing w:after="0" w:line="240" w:lineRule="auto"/>
        <w:ind w:left="426" w:hanging="426"/>
        <w:jc w:val="both"/>
        <w:rPr>
          <w:rFonts w:ascii="Verdana" w:eastAsia="SimSun" w:hAnsi="Verdana" w:cs="Arial"/>
          <w:kern w:val="1"/>
          <w:sz w:val="20"/>
          <w:szCs w:val="20"/>
          <w:lang w:eastAsia="hi-IN" w:bidi="hi-IN"/>
        </w:rPr>
      </w:pPr>
      <w:r w:rsidRPr="00A8619D">
        <w:rPr>
          <w:rFonts w:ascii="Verdana" w:eastAsia="SimSun" w:hAnsi="Verdana" w:cs="Arial"/>
          <w:kern w:val="1"/>
          <w:sz w:val="20"/>
          <w:szCs w:val="20"/>
          <w:lang w:eastAsia="hi-IN" w:bidi="hi-IN"/>
        </w:rPr>
        <w:t>Izvedbenega sklepa Komisije z dne 11. junija 2014 o določitvi letne razdelitve, po državah članicah, skupnih virov Evropskega sklada za pomorstvo in ribištvo, ki so na voljo v okviru deljenega upravljanja za obdobje 2014–2020 (UL L št. 180 z dne 20. 6. 2014, str. 18)</w:t>
      </w:r>
      <w:r w:rsidRPr="00A8619D">
        <w:rPr>
          <w:rFonts w:ascii="Verdana" w:hAnsi="Verdana" w:cs="Arial"/>
          <w:bCs/>
          <w:sz w:val="20"/>
          <w:szCs w:val="20"/>
        </w:rPr>
        <w:t>.</w:t>
      </w:r>
    </w:p>
    <w:p w:rsidR="00B74121" w:rsidRPr="00A8619D" w:rsidRDefault="00B74121" w:rsidP="00B74121">
      <w:pPr>
        <w:spacing w:after="0" w:line="240" w:lineRule="auto"/>
        <w:ind w:left="426"/>
        <w:jc w:val="both"/>
        <w:rPr>
          <w:rFonts w:ascii="Verdana" w:eastAsia="SimSun" w:hAnsi="Verdana" w:cs="Arial"/>
          <w:kern w:val="1"/>
          <w:sz w:val="20"/>
          <w:szCs w:val="20"/>
          <w:lang w:eastAsia="hi-IN" w:bidi="hi-IN"/>
        </w:rPr>
      </w:pPr>
    </w:p>
    <w:p w:rsidR="00B74121" w:rsidRDefault="00B74121" w:rsidP="00B74121">
      <w:pPr>
        <w:shd w:val="clear" w:color="auto" w:fill="92D050"/>
        <w:spacing w:after="0" w:line="240" w:lineRule="auto"/>
        <w:jc w:val="both"/>
        <w:rPr>
          <w:rFonts w:ascii="Verdana" w:hAnsi="Verdana"/>
          <w:b/>
          <w:sz w:val="28"/>
          <w:szCs w:val="28"/>
        </w:rPr>
      </w:pPr>
      <w:r w:rsidRPr="0098551D">
        <w:rPr>
          <w:rFonts w:ascii="Verdana" w:hAnsi="Verdana"/>
          <w:b/>
          <w:sz w:val="28"/>
          <w:szCs w:val="28"/>
        </w:rPr>
        <w:t>2.</w:t>
      </w:r>
      <w:r>
        <w:rPr>
          <w:rFonts w:ascii="Verdana" w:hAnsi="Verdana"/>
          <w:b/>
          <w:sz w:val="28"/>
          <w:szCs w:val="28"/>
        </w:rPr>
        <w:t xml:space="preserve"> Območje LAS</w:t>
      </w:r>
    </w:p>
    <w:p w:rsidR="00B74121" w:rsidRPr="0098551D" w:rsidRDefault="00B74121" w:rsidP="00B74121">
      <w:pPr>
        <w:shd w:val="clear" w:color="auto" w:fill="92D050"/>
        <w:spacing w:after="0" w:line="240" w:lineRule="auto"/>
        <w:jc w:val="both"/>
        <w:rPr>
          <w:rFonts w:ascii="Verdana" w:hAnsi="Verdana"/>
          <w:b/>
          <w:sz w:val="28"/>
          <w:szCs w:val="28"/>
        </w:rPr>
      </w:pPr>
    </w:p>
    <w:p w:rsidR="00B74121" w:rsidRDefault="00B74121" w:rsidP="00B74121">
      <w:pPr>
        <w:jc w:val="both"/>
        <w:rPr>
          <w:rFonts w:ascii="Verdana" w:hAnsi="Verdana"/>
        </w:rPr>
      </w:pPr>
    </w:p>
    <w:p w:rsidR="00B74121" w:rsidRDefault="00B74121" w:rsidP="00B74121">
      <w:pPr>
        <w:jc w:val="both"/>
        <w:rPr>
          <w:rFonts w:ascii="Verdana" w:hAnsi="Verdana"/>
        </w:rPr>
      </w:pPr>
      <w:r w:rsidRPr="00A8619D">
        <w:rPr>
          <w:rFonts w:ascii="Verdana" w:hAnsi="Verdana"/>
        </w:rPr>
        <w:t xml:space="preserve">V pogodbeno partnerstvo se lahko vključijo osebe javnega prava, osebe zasebnega prava in fizične osebe, ki imajo sedež ali </w:t>
      </w:r>
      <w:r>
        <w:rPr>
          <w:rFonts w:ascii="Verdana" w:hAnsi="Verdana"/>
        </w:rPr>
        <w:t>stalno prebivališče na območju regije Posavje, to je občin</w:t>
      </w:r>
      <w:r w:rsidRPr="00A8619D">
        <w:rPr>
          <w:rFonts w:ascii="Verdana" w:hAnsi="Verdana"/>
        </w:rPr>
        <w:t xml:space="preserve">: Bistrica ob Sotli, Brežice, Kostanjevica na Krki, Krško, Radeče in Sevnica. </w:t>
      </w:r>
    </w:p>
    <w:p w:rsidR="00B74121" w:rsidRDefault="00B74121" w:rsidP="00B74121">
      <w:pPr>
        <w:jc w:val="both"/>
        <w:rPr>
          <w:rFonts w:ascii="Verdana" w:hAnsi="Verdana"/>
        </w:rPr>
      </w:pPr>
    </w:p>
    <w:p w:rsidR="00B74121" w:rsidRDefault="00B74121" w:rsidP="00B74121">
      <w:pPr>
        <w:shd w:val="clear" w:color="auto" w:fill="92D050"/>
        <w:spacing w:after="0" w:line="240" w:lineRule="auto"/>
        <w:jc w:val="both"/>
        <w:rPr>
          <w:rFonts w:ascii="Verdana" w:hAnsi="Verdana"/>
          <w:b/>
          <w:sz w:val="28"/>
          <w:szCs w:val="28"/>
        </w:rPr>
      </w:pPr>
      <w:r>
        <w:rPr>
          <w:rFonts w:ascii="Verdana" w:hAnsi="Verdana"/>
          <w:b/>
          <w:sz w:val="28"/>
          <w:szCs w:val="28"/>
        </w:rPr>
        <w:t>3. P</w:t>
      </w:r>
      <w:r w:rsidRPr="00805C48">
        <w:rPr>
          <w:rFonts w:ascii="Verdana" w:hAnsi="Verdana"/>
          <w:b/>
          <w:sz w:val="28"/>
          <w:szCs w:val="28"/>
        </w:rPr>
        <w:t xml:space="preserve">ogoji za oblikovanje </w:t>
      </w:r>
      <w:r>
        <w:rPr>
          <w:rFonts w:ascii="Verdana" w:hAnsi="Verdana"/>
          <w:b/>
          <w:sz w:val="28"/>
          <w:szCs w:val="28"/>
        </w:rPr>
        <w:t>LAS</w:t>
      </w:r>
    </w:p>
    <w:p w:rsidR="00B74121" w:rsidRPr="00805C48" w:rsidRDefault="00B74121" w:rsidP="00B74121">
      <w:pPr>
        <w:shd w:val="clear" w:color="auto" w:fill="92D050"/>
        <w:spacing w:after="0" w:line="240" w:lineRule="auto"/>
        <w:jc w:val="both"/>
        <w:rPr>
          <w:rFonts w:ascii="Verdana" w:hAnsi="Verdana"/>
          <w:b/>
          <w:sz w:val="28"/>
          <w:szCs w:val="28"/>
        </w:rPr>
      </w:pP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szCs w:val="20"/>
        </w:rPr>
      </w:pPr>
      <w:r w:rsidRPr="00A8619D">
        <w:rPr>
          <w:rFonts w:ascii="Verdana" w:hAnsi="Verdana" w:cs="Arial"/>
          <w:bCs/>
          <w:szCs w:val="20"/>
        </w:rPr>
        <w:t>Lokalno</w:t>
      </w:r>
      <w:r w:rsidRPr="00A8619D">
        <w:rPr>
          <w:rFonts w:ascii="Verdana" w:hAnsi="Verdana" w:cs="Arial"/>
          <w:szCs w:val="20"/>
        </w:rPr>
        <w:t xml:space="preserve"> partnerstvo se oblikuje na območju s skupnimi lokalnimi potrebami in izzivi, s skupnim ciljem uresničevanja lokalnih razvojnih potreb in doseganja zastavljenih ciljev opredeljenih v SLR.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szCs w:val="20"/>
        </w:rPr>
      </w:pPr>
      <w:r w:rsidRPr="00A8619D">
        <w:rPr>
          <w:rFonts w:ascii="Verdana" w:hAnsi="Verdana" w:cs="Arial"/>
          <w:bCs/>
          <w:szCs w:val="20"/>
        </w:rPr>
        <w:t xml:space="preserve">Vzpostavitev lokalnega partnerstva in članstvo LAS se zagotavlja na podlagi javno objavljenega poziva vsaj enega od pobudnikov za oblikovanje LAS.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Obvestilo o objavi javnega poziva za oblikovanje LAS ali povezavo do javnega poziva je potrebno posredovati na naslov Koordinacijskega odbora CLLD.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Lokalni razvoj, ki ga vodi LAS, se mora osredotočiti na posebna podregionalna območja, kar pomeni, da se območja soočajo s posebnimi geografskimi in demografskimi težavami.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lastRenderedPageBreak/>
        <w:t>Območje LAS mora biti povezano v homogeno geografsko in funkcionalno celoto, območje posamezne občine se ne sme deliti med več LAS.</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Posamezna območja LAS se med sabo ne smejo prekrivati.</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Na območju, za katero se pripravlja SLR, mora živeti med 10.000 in 150.000 prebivalcev.</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LAS mora biti organiziran kot pogodbeno partnerstvo javnih in zasebnih subjektov na izbranem območju, kar pomeni, da je ustanovljen na podlagi zavezujoče pogodbe med partnerji.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V lokalno partnerstvo so lahko vključene tudi pravne osebe javnega prava, društva in druge pravne osebe zasebnega prava v javnem interesu, ki delujejo na območju več LAS.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Na ravni odločanja v LAS je potrebno upoštevati 2.b točko 32. člena Uredbe 1303/2013/EU.</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LAS mora zagotoviti preglednost svojega delovanja in zagotoviti sledljivost ter nadzor nad zakonito porabo proračunskih sredstev. Zagotoviti mora transparentnost postopkov in preprečiti konflikt interesov.</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szCs w:val="20"/>
        </w:rPr>
      </w:pPr>
      <w:r w:rsidRPr="00A8619D">
        <w:rPr>
          <w:rFonts w:ascii="Verdana" w:hAnsi="Verdana" w:cs="Arial"/>
          <w:bCs/>
          <w:szCs w:val="20"/>
        </w:rPr>
        <w:t xml:space="preserve">Izbrati enega partnerja izmed članov lokalnega partnerstva kot vodilnega partnerja, ki opravlja naloge, določene v </w:t>
      </w:r>
      <w:r w:rsidRPr="00A8619D">
        <w:rPr>
          <w:rFonts w:ascii="Verdana" w:hAnsi="Verdana" w:cs="Arial"/>
          <w:szCs w:val="20"/>
        </w:rPr>
        <w:t>uredbi CLLD.</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szCs w:val="20"/>
        </w:rPr>
      </w:pPr>
      <w:r w:rsidRPr="00A8619D">
        <w:rPr>
          <w:rFonts w:ascii="Verdana" w:hAnsi="Verdana" w:cs="Arial"/>
          <w:szCs w:val="20"/>
        </w:rPr>
        <w:t xml:space="preserve">Ne </w:t>
      </w:r>
      <w:r w:rsidRPr="00A8619D">
        <w:rPr>
          <w:rFonts w:ascii="Verdana" w:hAnsi="Verdana" w:cs="Arial"/>
          <w:bCs/>
          <w:szCs w:val="20"/>
        </w:rPr>
        <w:t>glede</w:t>
      </w:r>
      <w:r w:rsidRPr="00A8619D">
        <w:rPr>
          <w:rFonts w:ascii="Verdana" w:hAnsi="Verdana" w:cs="Arial"/>
          <w:szCs w:val="20"/>
        </w:rPr>
        <w:t xml:space="preserve"> na prejšnjo točko se lahko vodilnega partnerja izbere v skladu s predpisi, ki urejajo javno naročanje.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LAS mora imeti varen elektronski predal in kvalificirano elektronsko potrdilo.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 xml:space="preserve">LAS mora imeti vzpostavljeno lastno spletno stran, na kateri mora objavljati javne pozive za izbor operacij, ki bodo predmet sofinanciranja v okviru podukrepa »Podpora za izvajanje operacij v okviru strategije lokalnega razvoja, ki ga vodi skupnost«, rezultate izbora operacij in ažurno objavljati vse druge informacije namenjene večji informiranosti upravičencev. </w:t>
      </w:r>
    </w:p>
    <w:p w:rsidR="00B74121" w:rsidRPr="00A8619D" w:rsidRDefault="00B74121" w:rsidP="00B74121">
      <w:pPr>
        <w:pStyle w:val="Brezrazmikov"/>
        <w:numPr>
          <w:ilvl w:val="0"/>
          <w:numId w:val="2"/>
        </w:numPr>
        <w:spacing w:before="100" w:beforeAutospacing="1" w:after="100" w:afterAutospacing="1"/>
        <w:ind w:left="426" w:hanging="426"/>
        <w:jc w:val="both"/>
        <w:rPr>
          <w:rFonts w:ascii="Verdana" w:hAnsi="Verdana" w:cs="Arial"/>
          <w:bCs/>
          <w:szCs w:val="20"/>
        </w:rPr>
      </w:pPr>
      <w:r w:rsidRPr="00A8619D">
        <w:rPr>
          <w:rFonts w:ascii="Verdana" w:hAnsi="Verdana" w:cs="Arial"/>
          <w:bCs/>
          <w:szCs w:val="20"/>
        </w:rPr>
        <w:t>LAS mora imeti določen naslov za sprejem pošte.</w:t>
      </w:r>
    </w:p>
    <w:p w:rsidR="00B74121" w:rsidRDefault="00B74121" w:rsidP="00B74121">
      <w:pPr>
        <w:shd w:val="clear" w:color="auto" w:fill="92D050"/>
        <w:spacing w:after="0" w:line="240" w:lineRule="auto"/>
        <w:jc w:val="both"/>
        <w:rPr>
          <w:rFonts w:ascii="Verdana" w:hAnsi="Verdana"/>
          <w:b/>
          <w:sz w:val="28"/>
          <w:szCs w:val="28"/>
        </w:rPr>
      </w:pPr>
      <w:r>
        <w:rPr>
          <w:rFonts w:ascii="Verdana" w:hAnsi="Verdana"/>
          <w:b/>
          <w:sz w:val="28"/>
          <w:szCs w:val="28"/>
        </w:rPr>
        <w:t>4. N</w:t>
      </w:r>
      <w:r w:rsidRPr="004C74CA">
        <w:rPr>
          <w:rFonts w:ascii="Verdana" w:hAnsi="Verdana"/>
          <w:b/>
          <w:sz w:val="28"/>
          <w:szCs w:val="28"/>
        </w:rPr>
        <w:t xml:space="preserve">aloge </w:t>
      </w:r>
      <w:r>
        <w:rPr>
          <w:rFonts w:ascii="Verdana" w:hAnsi="Verdana"/>
          <w:b/>
          <w:sz w:val="28"/>
          <w:szCs w:val="28"/>
        </w:rPr>
        <w:t>LAS</w:t>
      </w:r>
    </w:p>
    <w:p w:rsidR="00B74121" w:rsidRPr="004C74CA" w:rsidRDefault="00B74121" w:rsidP="00B74121">
      <w:pPr>
        <w:shd w:val="clear" w:color="auto" w:fill="92D050"/>
        <w:spacing w:after="0" w:line="240" w:lineRule="auto"/>
        <w:jc w:val="both"/>
        <w:rPr>
          <w:rFonts w:ascii="Verdana" w:hAnsi="Verdana"/>
          <w:b/>
          <w:sz w:val="28"/>
          <w:szCs w:val="28"/>
        </w:rPr>
      </w:pPr>
    </w:p>
    <w:p w:rsidR="00B74121" w:rsidRDefault="00B74121" w:rsidP="00B74121">
      <w:pPr>
        <w:pStyle w:val="Brezrazmikov"/>
        <w:jc w:val="both"/>
        <w:rPr>
          <w:rFonts w:ascii="Verdana" w:hAnsi="Verdana" w:cs="Arial"/>
          <w:szCs w:val="20"/>
        </w:rPr>
      </w:pPr>
    </w:p>
    <w:p w:rsidR="00B74121" w:rsidRPr="00A8619D" w:rsidRDefault="00B74121" w:rsidP="00B74121">
      <w:pPr>
        <w:pStyle w:val="Brezrazmikov"/>
        <w:jc w:val="both"/>
        <w:rPr>
          <w:rFonts w:ascii="Verdana" w:hAnsi="Verdana" w:cs="Arial"/>
          <w:szCs w:val="20"/>
        </w:rPr>
      </w:pPr>
      <w:r w:rsidRPr="00A8619D">
        <w:rPr>
          <w:rFonts w:ascii="Verdana" w:hAnsi="Verdana" w:cs="Arial"/>
          <w:szCs w:val="20"/>
        </w:rPr>
        <w:t>Poleg nalog iz tretjega odstavka 34. člena Uredbe 1303/2013/EU mora LAS opravljati naslednje naloge:</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v SLR določiti, s sredstvi katerega zadevnega sklada uresničuje cilje SLR;</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 xml:space="preserve">animacija območja, zagotavljanje informacij zainteresiranim prebivalcem na območju LAS, spodbujanje izvajanja operacij ter pomoč potencialnim upravičencem pri pripravi operacij; </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 xml:space="preserve">pripraviti SLR za celotno programsko obdobje in biti sposoben uresničevati cilje, zastavljene v SLR; </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spremljati in vrednotiti ter skrbeti za pravilno izvajanje operacij v skladu s SLR in tudi za doseganje mejnikov in ciljev operacij ter imeti pregled nad izvajanjem operacij tudi po izplačilu sredstev;</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izvajati postopke za izbor operacij, izbrati operacije in jih predložiti v končno potrditev v skladu s postopki zadevnega sklada;</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skrbeti za informiranost upravičencev v zvezi s pravicami in dolžnostmi tudi po zadnjem izplačilu sredstev;</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zagotoviti posredovanje vlog ter zahtevke za izplačilo za posamezne podukrepe iz 8. člena te uredbe, v skladu posebnimi pogoji zadevnega sklada iz te uredbe;</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predhodno preverjati upravičenost stroškov, skladnost s SLR in operativnimi programi, preverjati, ali imajo nosilci operacij zmogljivosti za izvajanje operacij in zakonitost izvedenih operacij;</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sodelovati z organi, kot jih določata 3. in 4. člen te uredbe, revizijskimi organi ter drugimi nadzornimi organi vseh zadevnih skladov;</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pripravljati letna poročila o izvajanju SLR v skladu s drugim odstavkom 49. člena te uredbe;</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lastRenderedPageBreak/>
        <w:t>pred posredovanjem zahtevka za izplačilo preveriti, da so sofinancirane operacije označene, v skladu s pravili označevanja, določenimi za zadevni sklad;</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prvi letni načrt aktivnosti za tekoče leto mora posredovati najpozneje do vložitve prvega zahtevka za podukrep »Podpora za tekoče stroške in stroške animacije«;</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vsako nadaljnje leto pa do 31. decembra na naslov Koordinacijskega odbora CLLD posredovati letni načrt aktivnosti za podukrep »Podpora za tekoče stroške in stroške animacije«. Obrazec za izdelavo letnega načrta aktivnosti je dostopen na spletnih straneh zadevnih organov upravljanja;</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 xml:space="preserve">urediti dostop do ustreznega informacijskega sistema zadevnega sklada pred vlaganjem vlog in zahtevkov za izplačilo v informacijski sistem; </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 xml:space="preserve">imenovati naslednje organe: </w:t>
      </w:r>
      <w:r w:rsidRPr="00A8619D">
        <w:rPr>
          <w:rFonts w:ascii="Verdana" w:hAnsi="Verdana" w:cs="Arial"/>
          <w:bCs/>
          <w:szCs w:val="20"/>
        </w:rPr>
        <w:t>predsednika, skupščino, organ upravljanja, ocenjevalno komisijo in nadzorni organ in</w:t>
      </w:r>
    </w:p>
    <w:p w:rsidR="00B74121" w:rsidRPr="00A8619D" w:rsidRDefault="00B74121" w:rsidP="00B74121">
      <w:pPr>
        <w:pStyle w:val="Brezrazmikov"/>
        <w:numPr>
          <w:ilvl w:val="0"/>
          <w:numId w:val="3"/>
        </w:numPr>
        <w:ind w:left="426" w:hanging="426"/>
        <w:jc w:val="both"/>
        <w:rPr>
          <w:rFonts w:ascii="Verdana" w:hAnsi="Verdana" w:cs="Arial"/>
          <w:szCs w:val="20"/>
        </w:rPr>
      </w:pPr>
      <w:r w:rsidRPr="00A8619D">
        <w:rPr>
          <w:rFonts w:ascii="Verdana" w:hAnsi="Verdana" w:cs="Arial"/>
          <w:szCs w:val="20"/>
        </w:rPr>
        <w:t xml:space="preserve">pripraviti dokumente za delovanje LAS, v katerih mora določiti člane posameznega organa iz prejšnje točke in jih javno objaviti na spletni strani LAS. </w:t>
      </w:r>
    </w:p>
    <w:p w:rsidR="00B74121" w:rsidRDefault="00B74121" w:rsidP="00B74121">
      <w:pPr>
        <w:jc w:val="center"/>
        <w:rPr>
          <w:rFonts w:ascii="Verdana" w:hAnsi="Verdana"/>
          <w:b/>
        </w:rPr>
      </w:pPr>
    </w:p>
    <w:p w:rsidR="00B74121" w:rsidRDefault="00B74121" w:rsidP="00B74121">
      <w:pPr>
        <w:shd w:val="clear" w:color="auto" w:fill="92D050"/>
        <w:spacing w:after="0" w:line="240" w:lineRule="auto"/>
        <w:jc w:val="both"/>
        <w:rPr>
          <w:rFonts w:ascii="Verdana" w:hAnsi="Verdana"/>
          <w:b/>
          <w:sz w:val="28"/>
          <w:szCs w:val="28"/>
        </w:rPr>
      </w:pPr>
      <w:r>
        <w:rPr>
          <w:rFonts w:ascii="Verdana" w:hAnsi="Verdana"/>
          <w:b/>
          <w:sz w:val="28"/>
          <w:szCs w:val="28"/>
        </w:rPr>
        <w:t>5. Postopek oblikovanja LAS</w:t>
      </w:r>
    </w:p>
    <w:p w:rsidR="00B74121" w:rsidRDefault="00B74121" w:rsidP="00B74121">
      <w:pPr>
        <w:shd w:val="clear" w:color="auto" w:fill="92D050"/>
        <w:spacing w:after="0" w:line="240" w:lineRule="auto"/>
        <w:jc w:val="both"/>
        <w:rPr>
          <w:rFonts w:ascii="Verdana" w:hAnsi="Verdana"/>
          <w:b/>
          <w:sz w:val="28"/>
          <w:szCs w:val="28"/>
        </w:rPr>
      </w:pPr>
    </w:p>
    <w:p w:rsidR="00B74121" w:rsidRPr="003E219F" w:rsidRDefault="00B74121" w:rsidP="00B74121">
      <w:pPr>
        <w:rPr>
          <w:rFonts w:ascii="Verdana" w:hAnsi="Verdana"/>
          <w:b/>
        </w:rPr>
      </w:pPr>
    </w:p>
    <w:p w:rsidR="00B74121" w:rsidRPr="003E219F" w:rsidRDefault="00B74121" w:rsidP="00B74121">
      <w:pPr>
        <w:rPr>
          <w:rFonts w:ascii="Verdana" w:hAnsi="Verdana"/>
          <w:b/>
          <w:u w:val="single"/>
        </w:rPr>
      </w:pPr>
      <w:r w:rsidRPr="003E219F">
        <w:rPr>
          <w:rFonts w:ascii="Verdana" w:hAnsi="Verdana"/>
          <w:b/>
          <w:u w:val="single"/>
        </w:rPr>
        <w:t>Faze oblikovanja LAS:</w:t>
      </w:r>
    </w:p>
    <w:p w:rsidR="00B74121" w:rsidRPr="003E219F" w:rsidRDefault="00B74121" w:rsidP="00B74121">
      <w:pPr>
        <w:pStyle w:val="Brezrazmikov"/>
        <w:numPr>
          <w:ilvl w:val="0"/>
          <w:numId w:val="4"/>
        </w:numPr>
        <w:jc w:val="both"/>
        <w:rPr>
          <w:rFonts w:ascii="Verdana" w:hAnsi="Verdana" w:cs="Arial"/>
          <w:sz w:val="22"/>
          <w:szCs w:val="22"/>
        </w:rPr>
      </w:pPr>
      <w:r w:rsidRPr="003E219F">
        <w:rPr>
          <w:rFonts w:ascii="Verdana" w:hAnsi="Verdana" w:cs="Arial"/>
          <w:sz w:val="22"/>
          <w:szCs w:val="22"/>
        </w:rPr>
        <w:t>Objava javnega poziva</w:t>
      </w:r>
      <w:r>
        <w:rPr>
          <w:rFonts w:ascii="Verdana" w:hAnsi="Verdana" w:cs="Arial"/>
          <w:sz w:val="22"/>
          <w:szCs w:val="22"/>
        </w:rPr>
        <w:t xml:space="preserve"> za oblikovanje LAS (posredovanje v vednost Koordinacijskemu odboru)</w:t>
      </w:r>
      <w:r w:rsidRPr="003E219F">
        <w:rPr>
          <w:rFonts w:ascii="Verdana" w:hAnsi="Verdana" w:cs="Arial"/>
          <w:sz w:val="22"/>
          <w:szCs w:val="22"/>
        </w:rPr>
        <w:t>;</w:t>
      </w:r>
    </w:p>
    <w:p w:rsidR="00B74121" w:rsidRPr="003E219F" w:rsidRDefault="00B74121" w:rsidP="00B74121">
      <w:pPr>
        <w:pStyle w:val="Brezrazmikov"/>
        <w:numPr>
          <w:ilvl w:val="0"/>
          <w:numId w:val="4"/>
        </w:numPr>
        <w:jc w:val="both"/>
        <w:rPr>
          <w:rFonts w:ascii="Verdana" w:hAnsi="Verdana" w:cs="Arial"/>
          <w:sz w:val="22"/>
          <w:szCs w:val="22"/>
        </w:rPr>
      </w:pPr>
      <w:r w:rsidRPr="003E219F">
        <w:rPr>
          <w:rFonts w:ascii="Verdana" w:hAnsi="Verdana" w:cs="Arial"/>
          <w:sz w:val="22"/>
          <w:szCs w:val="22"/>
        </w:rPr>
        <w:t>Zbiranje prijav ob upoštevanju  2. b točke 32. člena Uredbe 1303/2013/EU, ki določa: lokalni razvoj, ki ga vodi skupnost, vodijo lokalne akcijske skupine, sestavljene iz predstavnikov javnih in zasebnih lokalnih socialno-ekonomskih interesih, v katerih na ravni odločanja niti javni organi, kakor so opredeljeni v skladu z nacionalnimi pravili, niti katera koli posamezna interesna skupina nima več kot 49 % glasovalnih pravic;</w:t>
      </w:r>
    </w:p>
    <w:p w:rsidR="00B74121" w:rsidRPr="003E219F" w:rsidRDefault="00B74121" w:rsidP="00B74121">
      <w:pPr>
        <w:pStyle w:val="Brezrazmikov"/>
        <w:numPr>
          <w:ilvl w:val="0"/>
          <w:numId w:val="4"/>
        </w:numPr>
        <w:jc w:val="both"/>
        <w:rPr>
          <w:rFonts w:ascii="Verdana" w:hAnsi="Verdana" w:cs="Arial"/>
          <w:sz w:val="22"/>
          <w:szCs w:val="22"/>
        </w:rPr>
      </w:pPr>
      <w:r w:rsidRPr="003E219F">
        <w:rPr>
          <w:rFonts w:ascii="Verdana" w:hAnsi="Verdana" w:cs="Arial"/>
          <w:sz w:val="22"/>
          <w:szCs w:val="22"/>
        </w:rPr>
        <w:t>V javnem pozivu se določi presečni datum, do katerega se upoštevajo vse prejete vloge za članstvo in se izvede konstituiranje LAS:</w:t>
      </w:r>
    </w:p>
    <w:p w:rsidR="00B74121" w:rsidRPr="003E219F" w:rsidRDefault="00B74121" w:rsidP="00B74121">
      <w:pPr>
        <w:pStyle w:val="Brezrazmikov"/>
        <w:numPr>
          <w:ilvl w:val="1"/>
          <w:numId w:val="6"/>
        </w:numPr>
        <w:jc w:val="both"/>
        <w:rPr>
          <w:rFonts w:ascii="Verdana" w:hAnsi="Verdana" w:cs="Arial"/>
          <w:sz w:val="22"/>
          <w:szCs w:val="22"/>
        </w:rPr>
      </w:pPr>
      <w:r w:rsidRPr="003E219F">
        <w:rPr>
          <w:rFonts w:ascii="Verdana" w:hAnsi="Verdana" w:cs="Arial"/>
          <w:sz w:val="22"/>
          <w:szCs w:val="22"/>
        </w:rPr>
        <w:t>Podpis partnerske pogodbe</w:t>
      </w:r>
    </w:p>
    <w:p w:rsidR="00B74121" w:rsidRPr="003E219F" w:rsidRDefault="00B74121" w:rsidP="00B74121">
      <w:pPr>
        <w:pStyle w:val="Brezrazmikov"/>
        <w:numPr>
          <w:ilvl w:val="1"/>
          <w:numId w:val="6"/>
        </w:numPr>
        <w:jc w:val="both"/>
        <w:rPr>
          <w:rFonts w:ascii="Verdana" w:hAnsi="Verdana" w:cs="Arial"/>
          <w:sz w:val="22"/>
          <w:szCs w:val="22"/>
        </w:rPr>
      </w:pPr>
      <w:r w:rsidRPr="003E219F">
        <w:rPr>
          <w:rFonts w:ascii="Verdana" w:hAnsi="Verdana" w:cs="Arial"/>
          <w:sz w:val="22"/>
          <w:szCs w:val="22"/>
        </w:rPr>
        <w:t>Obravnava in sprejem aktov LAS</w:t>
      </w:r>
    </w:p>
    <w:p w:rsidR="00B74121" w:rsidRPr="003E219F" w:rsidRDefault="00B74121" w:rsidP="00B74121">
      <w:pPr>
        <w:pStyle w:val="Brezrazmikov"/>
        <w:numPr>
          <w:ilvl w:val="1"/>
          <w:numId w:val="6"/>
        </w:numPr>
        <w:jc w:val="both"/>
        <w:rPr>
          <w:rFonts w:ascii="Verdana" w:hAnsi="Verdana" w:cs="Arial"/>
          <w:sz w:val="22"/>
          <w:szCs w:val="22"/>
        </w:rPr>
      </w:pPr>
      <w:r>
        <w:rPr>
          <w:rFonts w:ascii="Verdana" w:hAnsi="Verdana" w:cs="Arial"/>
          <w:sz w:val="22"/>
          <w:szCs w:val="22"/>
        </w:rPr>
        <w:t>Volitve</w:t>
      </w:r>
      <w:r w:rsidRPr="003E219F">
        <w:rPr>
          <w:rFonts w:ascii="Verdana" w:hAnsi="Verdana" w:cs="Arial"/>
          <w:sz w:val="22"/>
          <w:szCs w:val="22"/>
        </w:rPr>
        <w:t xml:space="preserve"> organov lokalne akcijske skupine;</w:t>
      </w:r>
    </w:p>
    <w:p w:rsidR="00B74121" w:rsidRPr="003E219F" w:rsidRDefault="00B74121" w:rsidP="00B74121">
      <w:pPr>
        <w:pStyle w:val="Brezrazmikov"/>
        <w:numPr>
          <w:ilvl w:val="1"/>
          <w:numId w:val="6"/>
        </w:numPr>
        <w:jc w:val="both"/>
        <w:rPr>
          <w:rFonts w:ascii="Verdana" w:hAnsi="Verdana" w:cs="Arial"/>
          <w:sz w:val="22"/>
          <w:szCs w:val="22"/>
        </w:rPr>
      </w:pPr>
      <w:r>
        <w:rPr>
          <w:rFonts w:ascii="Verdana" w:hAnsi="Verdana" w:cs="Arial"/>
          <w:sz w:val="22"/>
          <w:szCs w:val="22"/>
        </w:rPr>
        <w:t>Izbor</w:t>
      </w:r>
      <w:r w:rsidRPr="003E219F">
        <w:rPr>
          <w:rFonts w:ascii="Verdana" w:hAnsi="Verdana" w:cs="Arial"/>
          <w:sz w:val="22"/>
          <w:szCs w:val="22"/>
        </w:rPr>
        <w:t xml:space="preserve"> vodilnega partnerja;</w:t>
      </w:r>
    </w:p>
    <w:p w:rsidR="00B74121" w:rsidRPr="003E219F" w:rsidRDefault="00B74121" w:rsidP="00B74121">
      <w:pPr>
        <w:pStyle w:val="Brezrazmikov"/>
        <w:numPr>
          <w:ilvl w:val="1"/>
          <w:numId w:val="6"/>
        </w:numPr>
        <w:jc w:val="both"/>
        <w:rPr>
          <w:rFonts w:ascii="Verdana" w:hAnsi="Verdana" w:cs="Arial"/>
          <w:sz w:val="22"/>
          <w:szCs w:val="22"/>
        </w:rPr>
      </w:pPr>
      <w:r w:rsidRPr="003E219F">
        <w:rPr>
          <w:rFonts w:ascii="Verdana" w:hAnsi="Verdana" w:cs="Arial"/>
          <w:sz w:val="22"/>
          <w:szCs w:val="22"/>
        </w:rPr>
        <w:t>Obravnava in priprava SLR</w:t>
      </w:r>
    </w:p>
    <w:p w:rsidR="00B74121" w:rsidRPr="003E219F" w:rsidRDefault="00B74121" w:rsidP="00B74121">
      <w:pPr>
        <w:pStyle w:val="Brezrazmikov"/>
        <w:numPr>
          <w:ilvl w:val="1"/>
          <w:numId w:val="6"/>
        </w:numPr>
        <w:jc w:val="both"/>
        <w:rPr>
          <w:rFonts w:ascii="Verdana" w:hAnsi="Verdana" w:cs="Arial"/>
          <w:sz w:val="22"/>
          <w:szCs w:val="22"/>
        </w:rPr>
      </w:pPr>
      <w:r w:rsidRPr="003E219F">
        <w:rPr>
          <w:rFonts w:ascii="Verdana" w:hAnsi="Verdana" w:cs="Arial"/>
          <w:sz w:val="22"/>
          <w:szCs w:val="22"/>
        </w:rPr>
        <w:t>Sprejetje SLR in oddaje vloge za status LAS za 2014-2020 na Koordinacijski odbor pri Vladi RS.</w:t>
      </w:r>
    </w:p>
    <w:p w:rsidR="00B74121" w:rsidRDefault="00B74121" w:rsidP="00B74121">
      <w:pPr>
        <w:pStyle w:val="Odstavekseznama"/>
        <w:numPr>
          <w:ilvl w:val="0"/>
          <w:numId w:val="4"/>
        </w:numPr>
        <w:jc w:val="both"/>
        <w:rPr>
          <w:rFonts w:ascii="Verdana" w:eastAsia="Times New Roman" w:hAnsi="Verdana" w:cs="Arial"/>
          <w:lang w:eastAsia="sl-SI"/>
        </w:rPr>
      </w:pPr>
      <w:r w:rsidRPr="003E219F">
        <w:rPr>
          <w:rFonts w:ascii="Verdana" w:eastAsia="Times New Roman" w:hAnsi="Verdana" w:cs="Arial"/>
          <w:lang w:eastAsia="sl-SI"/>
        </w:rPr>
        <w:t>Vloge, ki bodo prispele po tem datumu, ne bodo zavržene, vendar se bodo fizične oziroma pravne osebe lahko vključevale v LAS pod pogoji, ki bodo že dorečeni do dneva njihove vključitve v LAS.</w:t>
      </w:r>
    </w:p>
    <w:p w:rsidR="00B74121" w:rsidRPr="003E219F" w:rsidRDefault="00B74121" w:rsidP="00B74121">
      <w:pPr>
        <w:pStyle w:val="Odstavekseznama"/>
        <w:jc w:val="both"/>
        <w:rPr>
          <w:rFonts w:ascii="Verdana" w:eastAsia="Times New Roman" w:hAnsi="Verdana" w:cs="Arial"/>
          <w:lang w:eastAsia="sl-SI"/>
        </w:rPr>
      </w:pPr>
    </w:p>
    <w:p w:rsidR="00B74121" w:rsidRPr="007C087E" w:rsidRDefault="00B74121" w:rsidP="00B74121">
      <w:pPr>
        <w:shd w:val="clear" w:color="auto" w:fill="92D050"/>
        <w:spacing w:after="0" w:line="240" w:lineRule="auto"/>
        <w:jc w:val="center"/>
        <w:rPr>
          <w:rFonts w:ascii="Verdana" w:hAnsi="Verdana"/>
          <w:b/>
          <w:sz w:val="28"/>
          <w:szCs w:val="28"/>
        </w:rPr>
      </w:pPr>
      <w:r w:rsidRPr="007C087E">
        <w:rPr>
          <w:rFonts w:ascii="Verdana" w:hAnsi="Verdana"/>
          <w:b/>
          <w:sz w:val="28"/>
          <w:szCs w:val="28"/>
        </w:rPr>
        <w:t xml:space="preserve">ROK ZA ODDAJO </w:t>
      </w:r>
      <w:r>
        <w:rPr>
          <w:rFonts w:ascii="Verdana" w:hAnsi="Verdana"/>
          <w:b/>
          <w:sz w:val="28"/>
          <w:szCs w:val="28"/>
        </w:rPr>
        <w:t xml:space="preserve">PRISTOPNIH IZJAV </w:t>
      </w:r>
      <w:r w:rsidRPr="007C087E">
        <w:rPr>
          <w:rFonts w:ascii="Verdana" w:hAnsi="Verdana"/>
          <w:b/>
          <w:sz w:val="28"/>
          <w:szCs w:val="28"/>
        </w:rPr>
        <w:t>ZA ČLANSTVO V LAS</w:t>
      </w:r>
    </w:p>
    <w:p w:rsidR="00B74121" w:rsidRDefault="00B74121" w:rsidP="00B74121">
      <w:pPr>
        <w:jc w:val="both"/>
        <w:rPr>
          <w:rFonts w:ascii="Verdana" w:hAnsi="Verdana"/>
        </w:rPr>
      </w:pPr>
    </w:p>
    <w:p w:rsidR="00675074" w:rsidRDefault="00B74121" w:rsidP="00B74121">
      <w:r w:rsidRPr="00A8619D">
        <w:rPr>
          <w:rFonts w:ascii="Verdana" w:hAnsi="Verdana"/>
        </w:rPr>
        <w:t xml:space="preserve">Rok za oddajo </w:t>
      </w:r>
      <w:r>
        <w:rPr>
          <w:rFonts w:ascii="Verdana" w:hAnsi="Verdana"/>
        </w:rPr>
        <w:t xml:space="preserve">pristopnih izjav, s katero podpisniki izrazijo namero </w:t>
      </w:r>
      <w:r w:rsidRPr="00A8619D">
        <w:rPr>
          <w:rFonts w:ascii="Verdana" w:hAnsi="Verdana"/>
        </w:rPr>
        <w:t>za članstvo v LAS</w:t>
      </w:r>
      <w:r>
        <w:rPr>
          <w:rFonts w:ascii="Verdana" w:hAnsi="Verdana"/>
        </w:rPr>
        <w:t>,</w:t>
      </w:r>
      <w:r w:rsidRPr="00A8619D">
        <w:rPr>
          <w:rFonts w:ascii="Verdana" w:hAnsi="Verdana"/>
        </w:rPr>
        <w:t xml:space="preserve"> je najkasneje do </w:t>
      </w:r>
      <w:r>
        <w:rPr>
          <w:rFonts w:ascii="Verdana" w:hAnsi="Verdana"/>
          <w:b/>
        </w:rPr>
        <w:t>20.08.2015</w:t>
      </w:r>
      <w:r>
        <w:rPr>
          <w:rFonts w:ascii="Verdana" w:hAnsi="Verdana"/>
        </w:rPr>
        <w:t xml:space="preserve">. </w:t>
      </w:r>
      <w:r w:rsidRPr="00A8619D">
        <w:rPr>
          <w:rFonts w:ascii="Verdana" w:hAnsi="Verdana"/>
        </w:rPr>
        <w:t>Vloge, ki bodo prispele po tem datumu, ne bodo zavržene, vendar se bodo fizične oziroma pravne osebe lahko vključevale v LAS pod pogoji, ki bodo že dorečeni do</w:t>
      </w:r>
      <w:r>
        <w:rPr>
          <w:rFonts w:ascii="Verdana" w:hAnsi="Verdana"/>
        </w:rPr>
        <w:t xml:space="preserve"> dneva njihove vključitve v LAS.</w:t>
      </w:r>
      <w:bookmarkStart w:id="0" w:name="_GoBack"/>
      <w:bookmarkEnd w:id="0"/>
    </w:p>
    <w:sectPr w:rsidR="00675074" w:rsidSect="005D1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6C5356"/>
    <w:multiLevelType w:val="hybridMultilevel"/>
    <w:tmpl w:val="6D7800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C4B7C1A"/>
    <w:multiLevelType w:val="hybridMultilevel"/>
    <w:tmpl w:val="98F20F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82D1CA7"/>
    <w:multiLevelType w:val="hybridMultilevel"/>
    <w:tmpl w:val="CAA2414A"/>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2A614DF"/>
    <w:multiLevelType w:val="hybridMultilevel"/>
    <w:tmpl w:val="4CD4F758"/>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C760A60"/>
    <w:multiLevelType w:val="hybridMultilevel"/>
    <w:tmpl w:val="7AC40F5A"/>
    <w:lvl w:ilvl="0" w:tplc="82267918">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4121"/>
    <w:rsid w:val="002F60A6"/>
    <w:rsid w:val="005D1256"/>
    <w:rsid w:val="00675074"/>
    <w:rsid w:val="008A77AC"/>
    <w:rsid w:val="00B74121"/>
    <w:rsid w:val="00DD58D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41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4121"/>
    <w:pPr>
      <w:ind w:left="720"/>
      <w:contextualSpacing/>
    </w:pPr>
  </w:style>
  <w:style w:type="paragraph" w:styleId="Brezrazmikov">
    <w:name w:val="No Spacing"/>
    <w:uiPriority w:val="1"/>
    <w:qFormat/>
    <w:rsid w:val="00B74121"/>
    <w:pPr>
      <w:spacing w:after="0" w:line="240" w:lineRule="auto"/>
    </w:pPr>
    <w:rPr>
      <w:rFonts w:ascii="Arial" w:eastAsia="Times New Roman" w:hAnsi="Arial" w:cs="Times New Roman"/>
      <w:sz w:val="20"/>
      <w:szCs w:val="24"/>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AUTO/?uri=CELEX:32014R0640&amp;qid=1415973891835&amp;ri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AUTO/?uri=CELEX:32013R1310&amp;qid=1427356976023&amp;rid=3" TargetMode="External"/><Relationship Id="rId12" Type="http://schemas.openxmlformats.org/officeDocument/2006/relationships/hyperlink" Target="http://eur-lex.europa.eu/legal-content/AUTO/?uri=CELEX:32014R0908&amp;qid=1415974383702&amp;r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AUTO/?uri=CELEX:32013R1305&amp;qid=1427356879085&amp;rid=1" TargetMode="External"/><Relationship Id="rId11" Type="http://schemas.openxmlformats.org/officeDocument/2006/relationships/hyperlink" Target="http://eur-lex.europa.eu/legal-content/AUTO/?uri=CELEX:32014R0907&amp;qid=1415974479070&amp;rid=2" TargetMode="External"/><Relationship Id="rId5" Type="http://schemas.openxmlformats.org/officeDocument/2006/relationships/hyperlink" Target="http://www.uradni-list.si/1/objava.jsp?sop=2015-01-1759" TargetMode="External"/><Relationship Id="rId10" Type="http://schemas.openxmlformats.org/officeDocument/2006/relationships/hyperlink" Target="http://eur-lex.europa.eu/legal-content/AUTO/?uri=CELEX:32014R0809&amp;qid=1415974118877&amp;rid=8" TargetMode="External"/><Relationship Id="rId4" Type="http://schemas.openxmlformats.org/officeDocument/2006/relationships/webSettings" Target="webSettings.xml"/><Relationship Id="rId9" Type="http://schemas.openxmlformats.org/officeDocument/2006/relationships/hyperlink" Target="http://eur-lex.europa.eu/legal-content/AUTO/?uri=CELEX:32014R0808&amp;qid=1425039010350&amp;rid=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3130</Words>
  <Characters>17842</Characters>
  <Application>Microsoft Office Word</Application>
  <DocSecurity>4</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Planinc</dc:creator>
  <cp:lastModifiedBy>liljanao</cp:lastModifiedBy>
  <cp:revision>2</cp:revision>
  <cp:lastPrinted>2015-06-24T05:25:00Z</cp:lastPrinted>
  <dcterms:created xsi:type="dcterms:W3CDTF">2015-06-24T11:38:00Z</dcterms:created>
  <dcterms:modified xsi:type="dcterms:W3CDTF">2015-06-24T11:38:00Z</dcterms:modified>
</cp:coreProperties>
</file>